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0A" w:rsidRPr="00982450" w:rsidRDefault="00AB270A" w:rsidP="00AB270A">
      <w:pPr>
        <w:pStyle w:val="3"/>
        <w:spacing w:before="0" w:line="240" w:lineRule="auto"/>
        <w:jc w:val="center"/>
        <w:rPr>
          <w:rFonts w:ascii="Calibri" w:hAnsi="Calibri" w:cs="Calibri"/>
          <w:sz w:val="20"/>
          <w:szCs w:val="20"/>
        </w:rPr>
      </w:pPr>
      <w:r w:rsidRPr="00982450">
        <w:rPr>
          <w:rFonts w:ascii="Calibri" w:hAnsi="Calibri" w:cs="Calibri"/>
          <w:sz w:val="20"/>
          <w:szCs w:val="20"/>
        </w:rPr>
        <w:t>Предложения по проекту Основных направлений бюджетной политики на 2010 год</w:t>
      </w:r>
      <w:r w:rsidRPr="00982450">
        <w:rPr>
          <w:rFonts w:ascii="Calibri" w:hAnsi="Calibri" w:cs="Calibri"/>
          <w:sz w:val="20"/>
          <w:szCs w:val="20"/>
        </w:rPr>
        <w:br/>
        <w:t xml:space="preserve"> и на плановый период 2011 и 2012 годов</w:t>
      </w:r>
      <w:r w:rsidRPr="00982450">
        <w:rPr>
          <w:rFonts w:ascii="Calibri" w:hAnsi="Calibri" w:cs="Calibri"/>
          <w:sz w:val="20"/>
          <w:szCs w:val="20"/>
        </w:rPr>
        <w:br/>
        <w:t>(октябрь 2009)</w:t>
      </w:r>
      <w:r w:rsidRPr="00982450">
        <w:rPr>
          <w:rFonts w:ascii="Calibri" w:hAnsi="Calibri" w:cs="Calibri"/>
          <w:sz w:val="20"/>
          <w:szCs w:val="20"/>
        </w:rPr>
        <w:br/>
      </w:r>
    </w:p>
    <w:p w:rsidR="00AB270A" w:rsidRPr="00F06F0C" w:rsidRDefault="00AB270A" w:rsidP="00AB270A">
      <w:pPr>
        <w:spacing w:after="0" w:line="240" w:lineRule="auto"/>
        <w:ind w:firstLine="709"/>
        <w:jc w:val="both"/>
        <w:rPr>
          <w:sz w:val="20"/>
          <w:szCs w:val="20"/>
        </w:rPr>
      </w:pPr>
      <w:r w:rsidRPr="00F06F0C">
        <w:rPr>
          <w:sz w:val="20"/>
          <w:szCs w:val="20"/>
        </w:rPr>
        <w:t xml:space="preserve">Базовое замечание к документу – он </w:t>
      </w:r>
      <w:r w:rsidRPr="00F06F0C">
        <w:rPr>
          <w:b/>
          <w:bCs/>
          <w:sz w:val="20"/>
          <w:szCs w:val="20"/>
        </w:rPr>
        <w:t>практически не предусматривает стимулирования экономики</w:t>
      </w:r>
      <w:r w:rsidRPr="00F06F0C">
        <w:rPr>
          <w:sz w:val="20"/>
          <w:szCs w:val="20"/>
        </w:rPr>
        <w:t xml:space="preserve"> и создания условий для экономического роста. Это распространяется не только на 2010 год, но и 2011-2012 годы. Декларируются планы по использованию мер фискальной политики для стимулирования внутреннего спроса. В реальности </w:t>
      </w:r>
      <w:r w:rsidRPr="00F06F0C">
        <w:rPr>
          <w:b/>
          <w:bCs/>
          <w:sz w:val="20"/>
          <w:szCs w:val="20"/>
        </w:rPr>
        <w:t>предлагаются лишь бюджетные меры, связанные с сохранением или увеличением бюджетных расходов</w:t>
      </w:r>
      <w:r w:rsidRPr="00F06F0C">
        <w:rPr>
          <w:sz w:val="20"/>
          <w:szCs w:val="20"/>
        </w:rPr>
        <w:t>, но не готовностью снизить налоговую нагрузку. Социальную сферу необходимо поддерживать, но целесообразность расходования на нее 75 % бюджета вызывает вопросы.</w:t>
      </w:r>
    </w:p>
    <w:p w:rsidR="00AB270A" w:rsidRPr="00F06F0C" w:rsidRDefault="00AB270A" w:rsidP="00AB270A">
      <w:pPr>
        <w:spacing w:after="0" w:line="240" w:lineRule="auto"/>
        <w:ind w:firstLine="709"/>
        <w:jc w:val="both"/>
        <w:rPr>
          <w:sz w:val="20"/>
          <w:szCs w:val="20"/>
        </w:rPr>
      </w:pPr>
      <w:r w:rsidRPr="00F06F0C">
        <w:rPr>
          <w:sz w:val="20"/>
          <w:szCs w:val="20"/>
        </w:rPr>
        <w:t xml:space="preserve">Констатируется, что фискальная политика будет нацелена на восстановление нормального функционирования экономики, дальнейшее стимулирование кредитования реального сектора и т.д. Однако каких-либо системных мер по данному направлению не предполагается, а </w:t>
      </w:r>
      <w:proofErr w:type="gramStart"/>
      <w:r w:rsidRPr="00F06F0C">
        <w:rPr>
          <w:sz w:val="20"/>
          <w:szCs w:val="20"/>
        </w:rPr>
        <w:t xml:space="preserve">исходя из планов </w:t>
      </w:r>
      <w:r w:rsidRPr="00F06F0C">
        <w:rPr>
          <w:b/>
          <w:bCs/>
          <w:sz w:val="20"/>
          <w:szCs w:val="20"/>
        </w:rPr>
        <w:t>нагрузка на бизнес лишь увеличится</w:t>
      </w:r>
      <w:proofErr w:type="gramEnd"/>
      <w:r w:rsidRPr="00F06F0C">
        <w:rPr>
          <w:sz w:val="20"/>
          <w:szCs w:val="20"/>
        </w:rPr>
        <w:t xml:space="preserve">, причем на весь, а не только сырьевой. </w:t>
      </w:r>
    </w:p>
    <w:p w:rsidR="00AB270A" w:rsidRPr="00F06F0C" w:rsidRDefault="00AB270A" w:rsidP="00AB270A">
      <w:pPr>
        <w:spacing w:after="0" w:line="240" w:lineRule="auto"/>
        <w:ind w:firstLine="709"/>
        <w:jc w:val="both"/>
        <w:rPr>
          <w:sz w:val="20"/>
          <w:szCs w:val="20"/>
        </w:rPr>
      </w:pPr>
      <w:r w:rsidRPr="00F06F0C">
        <w:rPr>
          <w:sz w:val="20"/>
          <w:szCs w:val="20"/>
        </w:rPr>
        <w:t>Не прослеживается ориентация бюджета на создание инновационной экономики. На поддержку высокотехнологичных отраслей и научно-технических инноваций в 2010-2012 годах планируется тратить 217-229 млрд. рублей (</w:t>
      </w:r>
      <w:r w:rsidRPr="00F06F0C">
        <w:rPr>
          <w:i/>
          <w:iCs/>
          <w:sz w:val="20"/>
          <w:szCs w:val="20"/>
        </w:rPr>
        <w:t>при этом</w:t>
      </w:r>
      <w:r w:rsidRPr="00F06F0C">
        <w:rPr>
          <w:sz w:val="20"/>
          <w:szCs w:val="20"/>
        </w:rPr>
        <w:t xml:space="preserve"> </w:t>
      </w:r>
      <w:r w:rsidRPr="00F06F0C">
        <w:rPr>
          <w:i/>
          <w:iCs/>
          <w:sz w:val="20"/>
          <w:szCs w:val="20"/>
        </w:rPr>
        <w:t>в таблицах 5.8 и 5.13 расходятся данные по 2012 году</w:t>
      </w:r>
      <w:r w:rsidRPr="00F06F0C">
        <w:rPr>
          <w:sz w:val="20"/>
          <w:szCs w:val="20"/>
        </w:rPr>
        <w:t xml:space="preserve">). Это существенно меньше, чем обслуживание госдолга и сопоставимо с расходами на оплату труда госслужащих, при этом значительную часть этих средств «съедает» имущественный взнос в уставный капитал </w:t>
      </w:r>
      <w:proofErr w:type="spellStart"/>
      <w:r w:rsidRPr="00F06F0C">
        <w:rPr>
          <w:sz w:val="20"/>
          <w:szCs w:val="20"/>
        </w:rPr>
        <w:t>Росатома</w:t>
      </w:r>
      <w:proofErr w:type="spellEnd"/>
      <w:r w:rsidRPr="00F06F0C">
        <w:rPr>
          <w:sz w:val="20"/>
          <w:szCs w:val="20"/>
        </w:rPr>
        <w:t xml:space="preserve"> (почти 30 %).</w:t>
      </w:r>
    </w:p>
    <w:p w:rsidR="00AB270A" w:rsidRPr="00F06F0C" w:rsidRDefault="00AB270A" w:rsidP="00AB270A">
      <w:pPr>
        <w:spacing w:after="0" w:line="240" w:lineRule="auto"/>
        <w:ind w:firstLine="709"/>
        <w:jc w:val="both"/>
        <w:rPr>
          <w:sz w:val="20"/>
          <w:szCs w:val="20"/>
        </w:rPr>
      </w:pPr>
      <w:r w:rsidRPr="00F06F0C">
        <w:rPr>
          <w:sz w:val="20"/>
          <w:szCs w:val="20"/>
        </w:rPr>
        <w:t xml:space="preserve">Минимальные средства будут тратиться на развитие </w:t>
      </w:r>
      <w:r w:rsidRPr="00F06F0C">
        <w:rPr>
          <w:b/>
          <w:bCs/>
          <w:sz w:val="20"/>
          <w:szCs w:val="20"/>
        </w:rPr>
        <w:t>транспортной системы</w:t>
      </w:r>
      <w:r w:rsidRPr="00F06F0C">
        <w:rPr>
          <w:sz w:val="20"/>
          <w:szCs w:val="20"/>
        </w:rPr>
        <w:t xml:space="preserve">. В 2012 году эта сумма составит менее 250 млрд. рублей, что меньше, чем в кризисный 2009 год (308 млрд. рублей). </w:t>
      </w:r>
      <w:proofErr w:type="gramStart"/>
      <w:r w:rsidRPr="00F06F0C">
        <w:rPr>
          <w:sz w:val="20"/>
          <w:szCs w:val="20"/>
        </w:rPr>
        <w:t xml:space="preserve">Исходя из представленной в документе структуры расходов и их динамики, после того, как в 2012 году завершиться либо существенно сократиться финансирование по статьям строительства дорог в Сочи, </w:t>
      </w:r>
      <w:proofErr w:type="spellStart"/>
      <w:r w:rsidRPr="00F06F0C">
        <w:rPr>
          <w:sz w:val="20"/>
          <w:szCs w:val="20"/>
        </w:rPr>
        <w:t>софинансирования</w:t>
      </w:r>
      <w:proofErr w:type="spellEnd"/>
      <w:r w:rsidRPr="00F06F0C">
        <w:rPr>
          <w:sz w:val="20"/>
          <w:szCs w:val="20"/>
        </w:rPr>
        <w:t xml:space="preserve"> строительства автодороги «Западный скоростной диаметр» и развития Владивостока в рамках подготовки к саммиту АТЭС, проблема неразвитости инфраструктуры в России будет решена и необходимости хотя бы сохранить текущий уровень инвестиций нет.</w:t>
      </w:r>
      <w:proofErr w:type="gramEnd"/>
    </w:p>
    <w:p w:rsidR="00AB270A" w:rsidRPr="00F06F0C" w:rsidRDefault="00AB270A" w:rsidP="00AB270A">
      <w:pPr>
        <w:spacing w:after="0" w:line="240" w:lineRule="auto"/>
        <w:ind w:firstLine="709"/>
        <w:jc w:val="both"/>
        <w:rPr>
          <w:sz w:val="20"/>
          <w:szCs w:val="20"/>
        </w:rPr>
      </w:pPr>
      <w:r w:rsidRPr="00F06F0C">
        <w:rPr>
          <w:sz w:val="20"/>
          <w:szCs w:val="20"/>
        </w:rPr>
        <w:t>Расходы по статьям «Обеспечение автомобильными дорогами новых микрорайонов» и «Строительство, модернизация, ремонт и содержание автомобильных дорог общего пользования», похоже, вообще не являются необходимыми для федерального бюджета, учитывая, что их сумма в 2010-2012 годах – ноль рублей. При этом любые попытки переложить такие расходы на региональные бюджеты не решат проблему – их доходы упали, межбюджетные трансферты будут сокращаться (1175,6 млрд. рублей в 2009 году и 854 млрд. рублей в 2012 году).</w:t>
      </w:r>
    </w:p>
    <w:p w:rsidR="00AB270A" w:rsidRPr="00F06F0C" w:rsidRDefault="00AB270A" w:rsidP="00AB270A">
      <w:pPr>
        <w:spacing w:after="0" w:line="240" w:lineRule="auto"/>
        <w:ind w:firstLine="709"/>
        <w:jc w:val="both"/>
        <w:rPr>
          <w:sz w:val="20"/>
          <w:szCs w:val="20"/>
        </w:rPr>
      </w:pPr>
      <w:r w:rsidRPr="00F06F0C">
        <w:rPr>
          <w:sz w:val="20"/>
          <w:szCs w:val="20"/>
        </w:rPr>
        <w:t xml:space="preserve">Ряд абсолютно правильных идей </w:t>
      </w:r>
      <w:r w:rsidRPr="00F06F0C">
        <w:rPr>
          <w:b/>
          <w:bCs/>
          <w:sz w:val="20"/>
          <w:szCs w:val="20"/>
        </w:rPr>
        <w:t>по расширению собственной доходной базы субъектов Российской Федерации должен сопровождаться дополнительными мерами контроля</w:t>
      </w:r>
      <w:r w:rsidRPr="00F06F0C">
        <w:rPr>
          <w:sz w:val="20"/>
          <w:szCs w:val="20"/>
        </w:rPr>
        <w:t>. В частности, предполагается увеличить с 20 до 40 % долю акциза на алкогольную продукцию, зачисляемую в субъект Российской Федерации по месту производства. Уже сейчас компании отмечают, что в условиях кризиса руководство ряда субъектов Российской Федерации формальными и неформальными методами создает барьеры для доступа на рынок продукции из других регионов. В таких условиях появление дополнительного финансового стимула к закрытию местного рынка может привести к обвальному увеличению административных барьеров и нарушению единого экономического пространства страны.</w:t>
      </w:r>
    </w:p>
    <w:p w:rsidR="00AB270A" w:rsidRPr="00F06F0C" w:rsidRDefault="00AB270A" w:rsidP="00AB270A">
      <w:pPr>
        <w:spacing w:after="0" w:line="240" w:lineRule="auto"/>
        <w:ind w:firstLine="709"/>
        <w:jc w:val="both"/>
        <w:rPr>
          <w:sz w:val="20"/>
          <w:szCs w:val="20"/>
        </w:rPr>
      </w:pPr>
      <w:r w:rsidRPr="00F06F0C">
        <w:rPr>
          <w:sz w:val="20"/>
          <w:szCs w:val="20"/>
        </w:rPr>
        <w:t>Есть вопросы и по структуре акцизов. В большинстве европейских стран акцизная нагрузка на крепкие спиртные напитки в 15-20 раз выше, чем на пиво или натуральное вино. В России удельный акциз на крепкий алкоголь всего в 3 раза выше, чем на пиво, и ситуация будет продолжать ухудшаться. Бороться с алкоголизацией населения необходимо, но не путем сближения цен крепкой и слабоалкогольной продукции.</w:t>
      </w:r>
    </w:p>
    <w:p w:rsidR="00AB270A" w:rsidRPr="00F06F0C" w:rsidRDefault="00AB270A" w:rsidP="00AB270A">
      <w:pPr>
        <w:spacing w:after="0" w:line="240" w:lineRule="auto"/>
        <w:ind w:firstLine="709"/>
        <w:jc w:val="both"/>
        <w:rPr>
          <w:sz w:val="20"/>
          <w:szCs w:val="20"/>
        </w:rPr>
      </w:pPr>
      <w:r w:rsidRPr="00F06F0C">
        <w:rPr>
          <w:sz w:val="20"/>
          <w:szCs w:val="20"/>
        </w:rPr>
        <w:t>Не может не вызывать удивления используемая в документе терминология. «Оптимизация» может означать все, что требуется: и повышение налоговой нагрузки, и ее снижение, и перераспределение. Пример – стр. 15 «Новой целью налоговой политики должно стать не простое снижение налоговой нагрузки, а ее</w:t>
      </w:r>
      <w:r w:rsidRPr="00F06F0C">
        <w:rPr>
          <w:b/>
          <w:bCs/>
          <w:sz w:val="20"/>
          <w:szCs w:val="20"/>
        </w:rPr>
        <w:t xml:space="preserve"> оптимизация</w:t>
      </w:r>
      <w:r w:rsidRPr="00F06F0C">
        <w:rPr>
          <w:sz w:val="20"/>
          <w:szCs w:val="20"/>
        </w:rPr>
        <w:t xml:space="preserve"> и такое распределение по секторам экономики для стимулирования экономического роста и высокотехнологичных производств. Одновременно с этим нужно </w:t>
      </w:r>
      <w:r w:rsidRPr="00F06F0C">
        <w:rPr>
          <w:b/>
          <w:bCs/>
          <w:sz w:val="20"/>
          <w:szCs w:val="20"/>
        </w:rPr>
        <w:t>оптимизировать налогообложение сырьевого сектора</w:t>
      </w:r>
      <w:r w:rsidRPr="00F06F0C">
        <w:rPr>
          <w:sz w:val="20"/>
          <w:szCs w:val="20"/>
        </w:rPr>
        <w:t xml:space="preserve">, а также производства и потребления товаров, наносящих вред здоровью, таких как табак и алкоголь». </w:t>
      </w:r>
    </w:p>
    <w:p w:rsidR="00AB270A" w:rsidRPr="00F06F0C" w:rsidRDefault="00AB270A" w:rsidP="00AB270A">
      <w:pPr>
        <w:spacing w:after="0" w:line="240" w:lineRule="auto"/>
        <w:ind w:firstLine="709"/>
        <w:jc w:val="both"/>
        <w:rPr>
          <w:sz w:val="20"/>
          <w:szCs w:val="20"/>
        </w:rPr>
      </w:pPr>
      <w:r w:rsidRPr="00F06F0C">
        <w:rPr>
          <w:sz w:val="20"/>
          <w:szCs w:val="20"/>
        </w:rPr>
        <w:t>Надо полагать, в первом случае речь идет об изменении ставок, во втором - о явном повышении. Что касается «оптимизации» налогообложения сырьевого сектора, хотелось бы понимать, ограничится ли оно перечисленными на стр. 23-24 мерами, или планируются и другие.</w:t>
      </w:r>
    </w:p>
    <w:p w:rsidR="00953860" w:rsidRDefault="00953860"/>
    <w:sectPr w:rsidR="00953860" w:rsidSect="00953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70A"/>
    <w:rsid w:val="0020758E"/>
    <w:rsid w:val="00953860"/>
    <w:rsid w:val="00AB270A"/>
    <w:rsid w:val="00FB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0A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B270A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B270A"/>
    <w:rPr>
      <w:rFonts w:ascii="Cambria" w:eastAsia="Times New Roman" w:hAnsi="Cambria" w:cs="Cambria"/>
      <w:b/>
      <w:bCs/>
      <w:color w:val="4F81BD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695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 Анастасия Сергеевна</dc:creator>
  <cp:lastModifiedBy>Баринова Анастасия Сергеевна</cp:lastModifiedBy>
  <cp:revision>1</cp:revision>
  <dcterms:created xsi:type="dcterms:W3CDTF">2010-04-28T09:25:00Z</dcterms:created>
  <dcterms:modified xsi:type="dcterms:W3CDTF">2010-04-28T09:26:00Z</dcterms:modified>
</cp:coreProperties>
</file>