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E6" w:rsidRPr="00982450" w:rsidRDefault="000C17E6" w:rsidP="000C17E6">
      <w:pPr>
        <w:pStyle w:val="3"/>
        <w:spacing w:before="0" w:line="240" w:lineRule="auto"/>
        <w:jc w:val="center"/>
        <w:rPr>
          <w:rStyle w:val="FontStyle11"/>
          <w:rFonts w:ascii="Calibri" w:hAnsi="Calibri" w:cs="Calibri"/>
          <w:b/>
          <w:bCs/>
          <w:sz w:val="20"/>
          <w:szCs w:val="20"/>
        </w:rPr>
      </w:pPr>
      <w:r w:rsidRPr="00982450">
        <w:rPr>
          <w:rFonts w:ascii="Calibri" w:hAnsi="Calibri" w:cs="Calibri"/>
          <w:sz w:val="20"/>
          <w:szCs w:val="20"/>
        </w:rPr>
        <w:t>Заключение на проект федерального закона № 294041-5</w:t>
      </w:r>
      <w:r w:rsidRPr="00982450">
        <w:rPr>
          <w:rFonts w:ascii="Calibri" w:hAnsi="Calibri" w:cs="Calibri"/>
          <w:sz w:val="20"/>
          <w:szCs w:val="20"/>
        </w:rPr>
        <w:br/>
        <w:t>«О внесении изменений в некоторые законодательные акты Российской Федерации»</w:t>
      </w:r>
      <w:r w:rsidRPr="00982450">
        <w:rPr>
          <w:rFonts w:ascii="Calibri" w:hAnsi="Calibri" w:cs="Calibri"/>
          <w:sz w:val="20"/>
          <w:szCs w:val="20"/>
        </w:rPr>
        <w:br/>
      </w:r>
      <w:r w:rsidRPr="00982450">
        <w:rPr>
          <w:rStyle w:val="FontStyle11"/>
          <w:rFonts w:ascii="Calibri" w:hAnsi="Calibri" w:cs="Calibri"/>
          <w:sz w:val="20"/>
          <w:szCs w:val="20"/>
        </w:rPr>
        <w:t>(об обязанностях работодателей в случае массового высвобождения работников)</w:t>
      </w:r>
      <w:r w:rsidRPr="00982450">
        <w:rPr>
          <w:rStyle w:val="FontStyle11"/>
          <w:rFonts w:ascii="Calibri" w:hAnsi="Calibri" w:cs="Calibri"/>
          <w:sz w:val="20"/>
          <w:szCs w:val="20"/>
        </w:rPr>
        <w:br/>
        <w:t>(февраль 2010)</w:t>
      </w:r>
      <w:r w:rsidRPr="00982450">
        <w:rPr>
          <w:rStyle w:val="FontStyle11"/>
          <w:rFonts w:ascii="Calibri" w:hAnsi="Calibri" w:cs="Calibri"/>
          <w:sz w:val="20"/>
          <w:szCs w:val="20"/>
        </w:rPr>
        <w:br/>
      </w:r>
    </w:p>
    <w:p w:rsidR="000C17E6" w:rsidRPr="00F06F0C" w:rsidRDefault="000C17E6" w:rsidP="000C17E6">
      <w:pPr>
        <w:spacing w:after="0" w:line="240" w:lineRule="auto"/>
        <w:ind w:firstLine="708"/>
        <w:rPr>
          <w:b/>
          <w:bCs/>
          <w:sz w:val="20"/>
          <w:szCs w:val="20"/>
        </w:rPr>
      </w:pPr>
      <w:r w:rsidRPr="00F06F0C">
        <w:rPr>
          <w:b/>
          <w:bCs/>
          <w:sz w:val="20"/>
          <w:szCs w:val="20"/>
        </w:rPr>
        <w:t>Проект не поддержан.</w:t>
      </w:r>
    </w:p>
    <w:p w:rsidR="000C17E6" w:rsidRPr="00F06F0C" w:rsidRDefault="000C17E6" w:rsidP="000C17E6">
      <w:pPr>
        <w:pStyle w:val="1"/>
        <w:spacing w:after="0" w:line="240" w:lineRule="auto"/>
        <w:rPr>
          <w:sz w:val="20"/>
          <w:szCs w:val="20"/>
        </w:rPr>
      </w:pPr>
      <w:r w:rsidRPr="00F06F0C">
        <w:rPr>
          <w:sz w:val="20"/>
          <w:szCs w:val="20"/>
        </w:rPr>
        <w:t>1.</w:t>
      </w:r>
      <w:r w:rsidRPr="00F06F0C">
        <w:rPr>
          <w:sz w:val="20"/>
          <w:szCs w:val="20"/>
        </w:rPr>
        <w:tab/>
        <w:t xml:space="preserve">Проектом закона предусматривается значительное повышение финансовой нагрузки на работодателя в связи с высвобождением персонала, без учета того, что массовое сокращение численности работающих, как правило, происходит по экономическим причинам, в связи с нестабильным финансово-экономическим положением предприятий и основной целью которого является оздоровление, сохранение производства. По данным Росстата по итогам 2009 года 40 и более процентов убыточных предприятий наблюдается в следующих видах деятельности: транспорт и связь; производство и распределение электроэнергии, газа и воды; добыча полезных ископаемых. </w:t>
      </w:r>
    </w:p>
    <w:p w:rsidR="000C17E6" w:rsidRPr="00F06F0C" w:rsidRDefault="000C17E6" w:rsidP="000C17E6">
      <w:pPr>
        <w:pStyle w:val="1"/>
        <w:spacing w:after="0" w:line="240" w:lineRule="auto"/>
        <w:rPr>
          <w:sz w:val="20"/>
          <w:szCs w:val="20"/>
        </w:rPr>
      </w:pPr>
      <w:r w:rsidRPr="00F06F0C">
        <w:rPr>
          <w:sz w:val="20"/>
          <w:szCs w:val="20"/>
        </w:rPr>
        <w:t>2.</w:t>
      </w:r>
      <w:r w:rsidRPr="00F06F0C">
        <w:rPr>
          <w:sz w:val="20"/>
          <w:szCs w:val="20"/>
        </w:rPr>
        <w:tab/>
        <w:t xml:space="preserve">В соответствии со статьей 82 Трудового кодекса РФ критерии массового увольнения могут определяться в отраслевых и (или) территориальных соглашениях. Установление данных критериев на федеральном уровне, как предлагается законопроектом, не может учитывать особенности и состояние региональных, территориальных рынков труда,  нагрузка на которые при массовых увольнениях должна быть определяющим фактором при установлении критериев массового увольнения. </w:t>
      </w:r>
    </w:p>
    <w:p w:rsidR="000C17E6" w:rsidRPr="00F06F0C" w:rsidRDefault="000C17E6" w:rsidP="000C17E6">
      <w:pPr>
        <w:pStyle w:val="1"/>
        <w:spacing w:after="0" w:line="240" w:lineRule="auto"/>
        <w:rPr>
          <w:sz w:val="20"/>
          <w:szCs w:val="20"/>
        </w:rPr>
      </w:pPr>
      <w:r w:rsidRPr="00F06F0C">
        <w:rPr>
          <w:sz w:val="20"/>
          <w:szCs w:val="20"/>
        </w:rPr>
        <w:t>3.</w:t>
      </w:r>
      <w:r w:rsidRPr="00F06F0C">
        <w:rPr>
          <w:sz w:val="20"/>
          <w:szCs w:val="20"/>
        </w:rPr>
        <w:tab/>
      </w:r>
      <w:proofErr w:type="gramStart"/>
      <w:r w:rsidRPr="00F06F0C">
        <w:rPr>
          <w:sz w:val="20"/>
          <w:szCs w:val="20"/>
        </w:rPr>
        <w:t>Содержащиеся в трудовом законодательстве Российской Федерации нормы, устанавливающие процедуры и сроки проведения мероприятий при массовых увольнениях, соответствуют требованиям  и рекомендациям Международной Организации Труда (МОТ) по предотвращению либо смягчению негативных последствий таких увольнений, защите высвобождаемых работников и, по мнению ООР «РСПП», достаточны для оперативного принятия мер по стабилизации ситуации на рынке труда субъекта Российской Федерации.</w:t>
      </w:r>
      <w:proofErr w:type="gramEnd"/>
      <w:r w:rsidRPr="00F06F0C">
        <w:rPr>
          <w:sz w:val="20"/>
          <w:szCs w:val="20"/>
        </w:rPr>
        <w:t xml:space="preserve"> Полагаем, что в целом предлагаемое ужесточение трудовых норм, связанных с высвобождением работников приводит к снижению гибкости рынка труда, консервации неэффективных рабочих мест.</w:t>
      </w:r>
    </w:p>
    <w:p w:rsidR="000C17E6" w:rsidRPr="00F06F0C" w:rsidRDefault="000C17E6" w:rsidP="000C17E6">
      <w:pPr>
        <w:pStyle w:val="1"/>
        <w:spacing w:after="0" w:line="240" w:lineRule="auto"/>
        <w:rPr>
          <w:sz w:val="20"/>
          <w:szCs w:val="20"/>
        </w:rPr>
      </w:pPr>
      <w:r w:rsidRPr="00F06F0C">
        <w:rPr>
          <w:sz w:val="20"/>
          <w:szCs w:val="20"/>
        </w:rPr>
        <w:t>4.</w:t>
      </w:r>
      <w:r w:rsidRPr="00F06F0C">
        <w:rPr>
          <w:sz w:val="20"/>
          <w:szCs w:val="20"/>
        </w:rPr>
        <w:tab/>
        <w:t xml:space="preserve">Предлагаемое проектом возложение не работодателя обязанности предоставления  в уполномоченный орган исполнительной власти субъекта Российской Федерации  согласованной с органами местного самоуправления программы по трудоустройству высвобождаемого персонала не соответствует Закону Российской Федерации «О занятости населения в Российской Федерации» (статья 7.1). В соответствии с законом, к полномочиям Российской Федерации в области содействия занятости населения, переданным для осуществления органам государственной власти субъектов Российской Федерации, относятся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При этом формирование средств на финансирование мероприятий по содействию занятости населения и социальной поддержке безработных граждан возложено на федеральный бюджет. </w:t>
      </w:r>
    </w:p>
    <w:p w:rsidR="000C17E6" w:rsidRPr="00F06F0C" w:rsidRDefault="000C17E6" w:rsidP="000C17E6">
      <w:pPr>
        <w:pStyle w:val="1"/>
        <w:spacing w:after="0" w:line="240" w:lineRule="auto"/>
        <w:rPr>
          <w:sz w:val="20"/>
          <w:szCs w:val="20"/>
        </w:rPr>
      </w:pPr>
      <w:r w:rsidRPr="00F06F0C">
        <w:rPr>
          <w:sz w:val="20"/>
          <w:szCs w:val="20"/>
        </w:rPr>
        <w:t>В соответствии с Конвенцией 158 и Рекомендацией 166 МОТ предусмотрено, что разработка и реализация мер по скорейшему трудоустройству высвобождаемых работников и, при необходимости, получению ими профессиональной подготовки или переподготовки, возложена на компетентный орган власти, который должен рассмотреть вопрос о выделении финансовых сре</w:t>
      </w:r>
      <w:proofErr w:type="gramStart"/>
      <w:r w:rsidRPr="00F06F0C">
        <w:rPr>
          <w:sz w:val="20"/>
          <w:szCs w:val="20"/>
        </w:rPr>
        <w:t>дств дл</w:t>
      </w:r>
      <w:proofErr w:type="gramEnd"/>
      <w:r w:rsidRPr="00F06F0C">
        <w:rPr>
          <w:sz w:val="20"/>
          <w:szCs w:val="20"/>
        </w:rPr>
        <w:t xml:space="preserve">я частичного или полного финансирования отдельных мер программы. При этом разработка таких мер должна осуществляться по возможности во взаимодействии с работодателями и представителями трудящихся. </w:t>
      </w:r>
    </w:p>
    <w:p w:rsidR="000C17E6" w:rsidRPr="00F06F0C" w:rsidRDefault="000C17E6" w:rsidP="000C17E6">
      <w:pPr>
        <w:pStyle w:val="1"/>
        <w:spacing w:after="0" w:line="240" w:lineRule="auto"/>
        <w:rPr>
          <w:sz w:val="20"/>
          <w:szCs w:val="20"/>
        </w:rPr>
      </w:pPr>
      <w:r w:rsidRPr="00F06F0C">
        <w:rPr>
          <w:sz w:val="20"/>
          <w:szCs w:val="20"/>
        </w:rPr>
        <w:t>5.</w:t>
      </w:r>
      <w:r w:rsidRPr="00F06F0C">
        <w:rPr>
          <w:sz w:val="20"/>
          <w:szCs w:val="20"/>
        </w:rPr>
        <w:tab/>
        <w:t>Законопроектом (пункт 1 статьи 3) предусматривается отнесение к уполномоченным органам органов исполнительной власти субъектов Российской Федерации, уполномоченных представлять работников в деле о банкротстве и в процедурах, применяемых в деле о банкротстве, в случаях массового высвобождения работников с предприятий.</w:t>
      </w:r>
    </w:p>
    <w:p w:rsidR="000C17E6" w:rsidRPr="00F06F0C" w:rsidRDefault="000C17E6" w:rsidP="000C17E6">
      <w:pPr>
        <w:spacing w:after="0" w:line="240" w:lineRule="auto"/>
        <w:ind w:firstLine="720"/>
        <w:jc w:val="both"/>
        <w:rPr>
          <w:sz w:val="20"/>
          <w:szCs w:val="20"/>
        </w:rPr>
      </w:pPr>
      <w:r w:rsidRPr="00F06F0C">
        <w:rPr>
          <w:sz w:val="20"/>
          <w:szCs w:val="20"/>
        </w:rPr>
        <w:t>Вместе с тем, понятие «уполномоченные органы» используется в Федеральном законе «О несостоятельности (банкротстве)» (далее – Закон о банкротстве) для обозначения органов публично-правовых образований Российской Федерации, перед которыми должник имеет задолженность по денежным обязательствам или обязательным платежам. Закон о банкротстве регулирует порядок предъявления требований уполномоченного органа к должнику, участия уполномоченного органа в собраниях кредиторов, удовлетворения требований уполномоченного органа т.д.</w:t>
      </w:r>
    </w:p>
    <w:p w:rsidR="000C17E6" w:rsidRPr="00F06F0C" w:rsidRDefault="000C17E6" w:rsidP="000C17E6">
      <w:pPr>
        <w:spacing w:after="0" w:line="240" w:lineRule="auto"/>
        <w:ind w:firstLine="720"/>
        <w:jc w:val="both"/>
        <w:rPr>
          <w:sz w:val="20"/>
          <w:szCs w:val="20"/>
        </w:rPr>
      </w:pPr>
      <w:r w:rsidRPr="00F06F0C">
        <w:rPr>
          <w:sz w:val="20"/>
          <w:szCs w:val="20"/>
        </w:rPr>
        <w:t>Наделение статусом «уполномоченного органа» организаций и лиц, не имеющих права требования к должнику по денежным обязательствам или обязательным платежам, противоречит установленному правовому регулированию прав и обязанностей уполномоченных органов в деле о банкротстве.</w:t>
      </w:r>
    </w:p>
    <w:p w:rsidR="000C17E6" w:rsidRPr="00F06F0C" w:rsidRDefault="000C17E6" w:rsidP="000C17E6">
      <w:pPr>
        <w:spacing w:after="0" w:line="240" w:lineRule="auto"/>
        <w:ind w:firstLine="720"/>
        <w:jc w:val="both"/>
        <w:rPr>
          <w:sz w:val="20"/>
          <w:szCs w:val="20"/>
        </w:rPr>
      </w:pPr>
      <w:r w:rsidRPr="00F06F0C">
        <w:rPr>
          <w:sz w:val="20"/>
          <w:szCs w:val="20"/>
        </w:rPr>
        <w:t>6.</w:t>
      </w:r>
      <w:r w:rsidRPr="00F06F0C">
        <w:rPr>
          <w:sz w:val="20"/>
          <w:szCs w:val="20"/>
        </w:rPr>
        <w:tab/>
        <w:t>Пунктами 2 и 3 статьи 3 законопроекта предусматривается возможность признания юридического лица банкротом в случае нарушения порядка массового высвобождения работников с предприятий.</w:t>
      </w:r>
    </w:p>
    <w:p w:rsidR="000C17E6" w:rsidRPr="00F06F0C" w:rsidRDefault="000C17E6" w:rsidP="000C17E6">
      <w:pPr>
        <w:spacing w:after="0" w:line="240" w:lineRule="auto"/>
        <w:ind w:firstLine="720"/>
        <w:jc w:val="both"/>
        <w:rPr>
          <w:sz w:val="20"/>
          <w:szCs w:val="20"/>
        </w:rPr>
      </w:pPr>
      <w:r w:rsidRPr="00F06F0C">
        <w:rPr>
          <w:sz w:val="20"/>
          <w:szCs w:val="20"/>
        </w:rPr>
        <w:lastRenderedPageBreak/>
        <w:t>В соответствии со статьей 2 Закона о банкротстве под несостоятельностью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 или исполнить обязанность по уплате обязательных платежей. Несостоятельность (банкротство) является экономическим явлением, связанным с неудовлетворительным финансовым состоянием должника.</w:t>
      </w:r>
    </w:p>
    <w:p w:rsidR="000C17E6" w:rsidRPr="00F06F0C" w:rsidRDefault="000C17E6" w:rsidP="000C17E6">
      <w:pPr>
        <w:spacing w:after="0" w:line="240" w:lineRule="auto"/>
        <w:ind w:firstLine="720"/>
        <w:jc w:val="both"/>
        <w:rPr>
          <w:sz w:val="20"/>
          <w:szCs w:val="20"/>
        </w:rPr>
      </w:pPr>
      <w:r w:rsidRPr="00F06F0C">
        <w:rPr>
          <w:sz w:val="20"/>
          <w:szCs w:val="20"/>
        </w:rPr>
        <w:t>В этой связи применение процедур банкротства в отношении организаций лишь на том основании, что они допустили нарушение установленного порядка массового высвобождения работников, противоречит основным принципам законодательства о банкротстве.</w:t>
      </w:r>
    </w:p>
    <w:p w:rsidR="000C17E6" w:rsidRPr="00F06F0C" w:rsidRDefault="000C17E6" w:rsidP="000C17E6">
      <w:pPr>
        <w:spacing w:after="0" w:line="240" w:lineRule="auto"/>
        <w:ind w:firstLine="720"/>
        <w:jc w:val="both"/>
        <w:rPr>
          <w:sz w:val="20"/>
          <w:szCs w:val="20"/>
        </w:rPr>
      </w:pPr>
      <w:r w:rsidRPr="00F06F0C">
        <w:rPr>
          <w:sz w:val="20"/>
          <w:szCs w:val="20"/>
        </w:rPr>
        <w:t>7.</w:t>
      </w:r>
      <w:r w:rsidRPr="00F06F0C">
        <w:rPr>
          <w:sz w:val="20"/>
          <w:szCs w:val="20"/>
        </w:rPr>
        <w:tab/>
        <w:t>Пунктом 4 статьи 3 Законопроекта предусматриваются особенности банкротства при массовом высвобождении работников. В частности, устанавливается, что в отношении организации, нарушающей порядок массового высвобождения работников, не применяются процедуры наблюдения, финансового оздоровления и внешнего управления.</w:t>
      </w:r>
    </w:p>
    <w:p w:rsidR="000C17E6" w:rsidRPr="00F06F0C" w:rsidRDefault="000C17E6" w:rsidP="000C17E6">
      <w:pPr>
        <w:spacing w:after="0" w:line="240" w:lineRule="auto"/>
        <w:ind w:firstLine="720"/>
        <w:jc w:val="both"/>
        <w:rPr>
          <w:sz w:val="20"/>
          <w:szCs w:val="20"/>
        </w:rPr>
      </w:pPr>
      <w:r w:rsidRPr="00F06F0C">
        <w:rPr>
          <w:sz w:val="20"/>
          <w:szCs w:val="20"/>
        </w:rPr>
        <w:t>Предлагаемая норма ставит возможность проведения в отношении должника реабилитационных процедур в зависимость от соблюдения им порядка массового высвобождения работников должника. При наличии временных финансовых трудностей должник, допустивший нарушение порядка массового высвобождения работников, лишается возможности провести мероприятия, направленные на восстановление платежеспособности и предотвращение его банкротства.</w:t>
      </w:r>
    </w:p>
    <w:p w:rsidR="000C17E6" w:rsidRPr="00F06F0C" w:rsidRDefault="000C17E6" w:rsidP="000C17E6">
      <w:pPr>
        <w:spacing w:after="0" w:line="240" w:lineRule="auto"/>
        <w:ind w:firstLine="720"/>
        <w:jc w:val="both"/>
        <w:rPr>
          <w:sz w:val="20"/>
          <w:szCs w:val="20"/>
        </w:rPr>
      </w:pPr>
      <w:r w:rsidRPr="00F06F0C">
        <w:rPr>
          <w:sz w:val="20"/>
          <w:szCs w:val="20"/>
        </w:rPr>
        <w:t xml:space="preserve">Такая ситуация создает риск банкротства, остановки потенциально рентабельного производства и высвобождения работников организаций, платежеспособность которых могла бы быть восстановлена в ходе реабилитационных процедур в деле о банкротстве.       </w:t>
      </w:r>
    </w:p>
    <w:p w:rsidR="000C17E6" w:rsidRPr="00F06F0C" w:rsidRDefault="000C17E6" w:rsidP="000C17E6">
      <w:pPr>
        <w:spacing w:after="0" w:line="240" w:lineRule="auto"/>
        <w:jc w:val="both"/>
        <w:rPr>
          <w:sz w:val="20"/>
          <w:szCs w:val="20"/>
        </w:rPr>
      </w:pPr>
      <w:r w:rsidRPr="00F06F0C">
        <w:rPr>
          <w:sz w:val="20"/>
          <w:szCs w:val="20"/>
        </w:rPr>
        <w:t xml:space="preserve">8.Пунктом 4 статьи 3 Законопроекта предусматривается, что кредиторы вправе предъявить свои требования к должнику в течение месяца </w:t>
      </w:r>
      <w:proofErr w:type="gramStart"/>
      <w:r w:rsidRPr="00F06F0C">
        <w:rPr>
          <w:sz w:val="20"/>
          <w:szCs w:val="20"/>
        </w:rPr>
        <w:t>с даты опубликования</w:t>
      </w:r>
      <w:proofErr w:type="gramEnd"/>
      <w:r w:rsidRPr="00F06F0C">
        <w:rPr>
          <w:sz w:val="20"/>
          <w:szCs w:val="20"/>
        </w:rPr>
        <w:t xml:space="preserve"> объявления о признании его банкротом в соответствии со статьей 71 Закона о банкротстве. </w:t>
      </w:r>
    </w:p>
    <w:p w:rsidR="000C17E6" w:rsidRDefault="000C17E6" w:rsidP="000C17E6">
      <w:pPr>
        <w:spacing w:after="0" w:line="240" w:lineRule="auto"/>
        <w:jc w:val="both"/>
        <w:rPr>
          <w:sz w:val="20"/>
          <w:szCs w:val="20"/>
        </w:rPr>
      </w:pPr>
      <w:r w:rsidRPr="00F06F0C">
        <w:rPr>
          <w:sz w:val="20"/>
          <w:szCs w:val="20"/>
        </w:rPr>
        <w:t xml:space="preserve">Порядок опубликования объявления о признании должника банкротом и предъявления требований кредиторов в ходе конкурсного производства определяется статьями 100, 128 и 142 Закона о банкротстве. Ссылка в Законопроекте на статью 71 Закона о банкротстве, определяющую порядок предъявления требований кредиторов в ходе наблюдения, представляется необоснованной. При этом из Законопроекта не ясно, с какой целью в отношении должников, нарушивших порядок массового высвобождения работников, сокращается на один месяц общий двухмесячный срок предъявления требований кредиторов в период конкурсного производства. </w:t>
      </w:r>
    </w:p>
    <w:p w:rsidR="00953860" w:rsidRDefault="00953860"/>
    <w:sectPr w:rsidR="00953860" w:rsidSect="0095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E6"/>
    <w:rsid w:val="000C17E6"/>
    <w:rsid w:val="0020758E"/>
    <w:rsid w:val="00953860"/>
    <w:rsid w:val="00FB3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E6"/>
    <w:rPr>
      <w:rFonts w:ascii="Calibri" w:eastAsia="Times New Roman" w:hAnsi="Calibri" w:cs="Calibri"/>
      <w:lang w:eastAsia="ru-RU"/>
    </w:rPr>
  </w:style>
  <w:style w:type="paragraph" w:styleId="3">
    <w:name w:val="heading 3"/>
    <w:basedOn w:val="a"/>
    <w:next w:val="a"/>
    <w:link w:val="30"/>
    <w:uiPriority w:val="99"/>
    <w:qFormat/>
    <w:rsid w:val="000C17E6"/>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17E6"/>
    <w:rPr>
      <w:rFonts w:ascii="Cambria" w:eastAsia="Times New Roman" w:hAnsi="Cambria" w:cs="Cambria"/>
      <w:b/>
      <w:bCs/>
      <w:color w:val="4F81BD"/>
      <w:lang w:eastAsia="ru-RU"/>
    </w:rPr>
  </w:style>
  <w:style w:type="paragraph" w:customStyle="1" w:styleId="1">
    <w:name w:val="Нормальный 1"/>
    <w:basedOn w:val="a"/>
    <w:link w:val="10"/>
    <w:uiPriority w:val="99"/>
    <w:rsid w:val="000C17E6"/>
    <w:pPr>
      <w:spacing w:after="80"/>
      <w:ind w:firstLine="709"/>
      <w:jc w:val="both"/>
    </w:pPr>
    <w:rPr>
      <w:sz w:val="28"/>
      <w:szCs w:val="28"/>
    </w:rPr>
  </w:style>
  <w:style w:type="character" w:customStyle="1" w:styleId="10">
    <w:name w:val="Нормальный 1 Знак"/>
    <w:basedOn w:val="a0"/>
    <w:link w:val="1"/>
    <w:uiPriority w:val="99"/>
    <w:locked/>
    <w:rsid w:val="000C17E6"/>
    <w:rPr>
      <w:rFonts w:ascii="Calibri" w:eastAsia="Times New Roman" w:hAnsi="Calibri" w:cs="Calibri"/>
      <w:sz w:val="28"/>
      <w:szCs w:val="28"/>
      <w:lang w:eastAsia="ru-RU"/>
    </w:rPr>
  </w:style>
  <w:style w:type="character" w:customStyle="1" w:styleId="FontStyle11">
    <w:name w:val="Font Style11"/>
    <w:basedOn w:val="a0"/>
    <w:uiPriority w:val="99"/>
    <w:rsid w:val="000C17E6"/>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Анастасия Сергеевна</dc:creator>
  <cp:lastModifiedBy>Баринова Анастасия Сергеевна</cp:lastModifiedBy>
  <cp:revision>1</cp:revision>
  <dcterms:created xsi:type="dcterms:W3CDTF">2010-04-28T10:00:00Z</dcterms:created>
  <dcterms:modified xsi:type="dcterms:W3CDTF">2010-04-28T10:00:00Z</dcterms:modified>
</cp:coreProperties>
</file>