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0B3" w:rsidRDefault="002110B3" w:rsidP="002110B3">
      <w:pPr>
        <w:spacing w:line="360" w:lineRule="auto"/>
        <w:ind w:firstLine="708"/>
        <w:jc w:val="both"/>
        <w:rPr>
          <w:rFonts w:ascii="Times New Roman" w:eastAsia="Times New Roman" w:hAnsi="Times New Roman"/>
          <w:b/>
          <w:sz w:val="28"/>
          <w:szCs w:val="28"/>
          <w:u w:val="single"/>
          <w:lang w:eastAsia="ru-RU"/>
        </w:rPr>
      </w:pPr>
    </w:p>
    <w:p w:rsidR="002110B3" w:rsidRPr="002110B3" w:rsidRDefault="002110B3" w:rsidP="002110B3">
      <w:pPr>
        <w:spacing w:line="360" w:lineRule="auto"/>
        <w:ind w:firstLine="708"/>
        <w:jc w:val="center"/>
        <w:rPr>
          <w:rFonts w:ascii="Times New Roman" w:eastAsia="Times New Roman" w:hAnsi="Times New Roman"/>
          <w:b/>
          <w:sz w:val="28"/>
          <w:szCs w:val="28"/>
          <w:lang w:val="en-US" w:eastAsia="ru-RU"/>
        </w:rPr>
      </w:pPr>
      <w:r w:rsidRPr="002110B3">
        <w:rPr>
          <w:rFonts w:ascii="Times New Roman" w:eastAsia="Times New Roman" w:hAnsi="Times New Roman"/>
          <w:b/>
          <w:sz w:val="28"/>
          <w:szCs w:val="28"/>
          <w:lang w:val="en-US" w:eastAsia="ru-RU"/>
        </w:rPr>
        <w:t xml:space="preserve">Meeting of IOE Members from Europe and Central Asia </w:t>
      </w:r>
    </w:p>
    <w:p w:rsidR="002110B3" w:rsidRDefault="002110B3" w:rsidP="002110B3">
      <w:pPr>
        <w:spacing w:line="360" w:lineRule="auto"/>
        <w:ind w:firstLine="708"/>
        <w:jc w:val="center"/>
        <w:rPr>
          <w:rFonts w:ascii="Times New Roman" w:eastAsia="Times New Roman" w:hAnsi="Times New Roman"/>
          <w:b/>
          <w:sz w:val="28"/>
          <w:szCs w:val="28"/>
          <w:lang w:val="en-US" w:eastAsia="ru-RU"/>
        </w:rPr>
      </w:pPr>
      <w:r>
        <w:rPr>
          <w:rFonts w:ascii="Times New Roman" w:eastAsia="Times New Roman" w:hAnsi="Times New Roman"/>
          <w:b/>
          <w:sz w:val="28"/>
          <w:szCs w:val="28"/>
          <w:lang w:val="en-US" w:eastAsia="ru-RU"/>
        </w:rPr>
        <w:t>Points for the presentation during the</w:t>
      </w:r>
    </w:p>
    <w:p w:rsidR="002110B3" w:rsidRDefault="002110B3" w:rsidP="002110B3">
      <w:pPr>
        <w:spacing w:line="360" w:lineRule="auto"/>
        <w:ind w:firstLine="708"/>
        <w:jc w:val="center"/>
        <w:rPr>
          <w:rFonts w:ascii="Times New Roman" w:eastAsia="Times New Roman" w:hAnsi="Times New Roman"/>
          <w:b/>
          <w:sz w:val="28"/>
          <w:szCs w:val="28"/>
          <w:lang w:val="en-US" w:eastAsia="ru-RU"/>
        </w:rPr>
      </w:pPr>
      <w:r>
        <w:rPr>
          <w:rFonts w:ascii="Times New Roman" w:eastAsia="Times New Roman" w:hAnsi="Times New Roman"/>
          <w:b/>
          <w:sz w:val="28"/>
          <w:szCs w:val="28"/>
          <w:lang w:val="en-US" w:eastAsia="ru-RU"/>
        </w:rPr>
        <w:t xml:space="preserve">Session: </w:t>
      </w:r>
      <w:r w:rsidRPr="002110B3">
        <w:rPr>
          <w:rFonts w:ascii="Times New Roman" w:eastAsia="Times New Roman" w:hAnsi="Times New Roman"/>
          <w:b/>
          <w:sz w:val="28"/>
          <w:szCs w:val="28"/>
          <w:lang w:val="en-US" w:eastAsia="ru-RU"/>
        </w:rPr>
        <w:t xml:space="preserve">The transformation of work: what challenges for Employers’ </w:t>
      </w:r>
      <w:proofErr w:type="spellStart"/>
      <w:r w:rsidRPr="002110B3">
        <w:rPr>
          <w:rFonts w:ascii="Times New Roman" w:eastAsia="Times New Roman" w:hAnsi="Times New Roman"/>
          <w:b/>
          <w:sz w:val="28"/>
          <w:szCs w:val="28"/>
          <w:lang w:val="en-US" w:eastAsia="ru-RU"/>
        </w:rPr>
        <w:t>Organisations</w:t>
      </w:r>
      <w:proofErr w:type="spellEnd"/>
      <w:r w:rsidRPr="002110B3">
        <w:rPr>
          <w:rFonts w:ascii="Times New Roman" w:eastAsia="Times New Roman" w:hAnsi="Times New Roman"/>
          <w:b/>
          <w:sz w:val="28"/>
          <w:szCs w:val="28"/>
          <w:lang w:val="en-US" w:eastAsia="ru-RU"/>
        </w:rPr>
        <w:t xml:space="preserve">? </w:t>
      </w:r>
    </w:p>
    <w:p w:rsidR="002110B3" w:rsidRPr="002110B3" w:rsidRDefault="002110B3" w:rsidP="002110B3">
      <w:pPr>
        <w:pStyle w:val="a3"/>
        <w:spacing w:line="360" w:lineRule="auto"/>
        <w:ind w:left="1068"/>
        <w:jc w:val="center"/>
        <w:rPr>
          <w:rFonts w:ascii="Times New Roman" w:eastAsia="Times New Roman" w:hAnsi="Times New Roman"/>
          <w:b/>
          <w:i/>
          <w:sz w:val="28"/>
          <w:szCs w:val="28"/>
          <w:lang w:val="en-US" w:eastAsia="ru-RU"/>
        </w:rPr>
      </w:pPr>
      <w:r w:rsidRPr="002110B3">
        <w:rPr>
          <w:rFonts w:ascii="Times New Roman" w:eastAsia="Times New Roman" w:hAnsi="Times New Roman"/>
          <w:b/>
          <w:i/>
          <w:sz w:val="28"/>
          <w:szCs w:val="28"/>
          <w:lang w:val="en-US" w:eastAsia="ru-RU"/>
        </w:rPr>
        <w:t xml:space="preserve">Interest representation by Employers’ </w:t>
      </w:r>
      <w:proofErr w:type="spellStart"/>
      <w:r w:rsidRPr="002110B3">
        <w:rPr>
          <w:rFonts w:ascii="Times New Roman" w:eastAsia="Times New Roman" w:hAnsi="Times New Roman"/>
          <w:b/>
          <w:i/>
          <w:sz w:val="28"/>
          <w:szCs w:val="28"/>
          <w:lang w:val="en-US" w:eastAsia="ru-RU"/>
        </w:rPr>
        <w:t>Organisations</w:t>
      </w:r>
      <w:proofErr w:type="spellEnd"/>
      <w:r w:rsidRPr="002110B3">
        <w:rPr>
          <w:rFonts w:ascii="Times New Roman" w:eastAsia="Times New Roman" w:hAnsi="Times New Roman"/>
          <w:b/>
          <w:i/>
          <w:sz w:val="28"/>
          <w:szCs w:val="28"/>
          <w:lang w:val="en-US" w:eastAsia="ru-RU"/>
        </w:rPr>
        <w:t xml:space="preserve"> in the context of the multiplication of lobby actors</w:t>
      </w:r>
    </w:p>
    <w:p w:rsidR="002110B3" w:rsidRPr="002110B3" w:rsidRDefault="002110B3" w:rsidP="002110B3">
      <w:pPr>
        <w:pStyle w:val="a3"/>
        <w:spacing w:line="360" w:lineRule="auto"/>
        <w:ind w:left="1068"/>
        <w:rPr>
          <w:rFonts w:ascii="Times New Roman" w:eastAsia="Times New Roman" w:hAnsi="Times New Roman"/>
          <w:b/>
          <w:sz w:val="28"/>
          <w:szCs w:val="28"/>
          <w:lang w:val="en-US" w:eastAsia="ru-RU"/>
        </w:rPr>
      </w:pPr>
      <w:r w:rsidRPr="002110B3">
        <w:rPr>
          <w:rFonts w:ascii="Times New Roman" w:eastAsia="Times New Roman" w:hAnsi="Times New Roman"/>
          <w:b/>
          <w:sz w:val="28"/>
          <w:szCs w:val="28"/>
          <w:lang w:val="en-US" w:eastAsia="ru-RU"/>
        </w:rPr>
        <w:t>Moderator: Deborah France, Director, ILO ACTEMP (TBC)</w:t>
      </w:r>
    </w:p>
    <w:p w:rsidR="002110B3" w:rsidRPr="002110B3" w:rsidRDefault="002110B3" w:rsidP="002110B3">
      <w:pPr>
        <w:spacing w:line="360" w:lineRule="auto"/>
        <w:ind w:firstLine="708"/>
        <w:jc w:val="center"/>
        <w:rPr>
          <w:rFonts w:ascii="Times New Roman" w:eastAsia="Times New Roman" w:hAnsi="Times New Roman"/>
          <w:b/>
          <w:sz w:val="28"/>
          <w:szCs w:val="28"/>
          <w:lang w:val="en-US" w:eastAsia="ru-RU"/>
        </w:rPr>
      </w:pPr>
    </w:p>
    <w:p w:rsidR="002110B3" w:rsidRDefault="002110B3" w:rsidP="002110B3">
      <w:pPr>
        <w:spacing w:line="360" w:lineRule="auto"/>
        <w:ind w:firstLine="708"/>
        <w:jc w:val="right"/>
        <w:rPr>
          <w:rFonts w:ascii="Times New Roman" w:eastAsia="Times New Roman" w:hAnsi="Times New Roman"/>
          <w:i/>
          <w:sz w:val="28"/>
          <w:szCs w:val="28"/>
          <w:lang w:val="en-US" w:eastAsia="ru-RU"/>
        </w:rPr>
      </w:pPr>
      <w:r w:rsidRPr="002110B3">
        <w:rPr>
          <w:rFonts w:ascii="Times New Roman" w:eastAsia="Times New Roman" w:hAnsi="Times New Roman"/>
          <w:i/>
          <w:sz w:val="28"/>
          <w:szCs w:val="28"/>
          <w:lang w:val="en-US" w:eastAsia="ru-RU"/>
        </w:rPr>
        <w:t xml:space="preserve">11:15 – 12:15 </w:t>
      </w:r>
    </w:p>
    <w:p w:rsidR="002110B3" w:rsidRDefault="002110B3" w:rsidP="002110B3">
      <w:pPr>
        <w:spacing w:line="360" w:lineRule="auto"/>
        <w:ind w:firstLine="708"/>
        <w:jc w:val="right"/>
        <w:rPr>
          <w:rFonts w:ascii="Times New Roman" w:eastAsia="Times New Roman" w:hAnsi="Times New Roman"/>
          <w:i/>
          <w:sz w:val="28"/>
          <w:szCs w:val="28"/>
          <w:lang w:val="en-US" w:eastAsia="ru-RU"/>
        </w:rPr>
      </w:pPr>
      <w:r w:rsidRPr="002110B3">
        <w:rPr>
          <w:rFonts w:ascii="Times New Roman" w:eastAsia="Times New Roman" w:hAnsi="Times New Roman"/>
          <w:i/>
          <w:sz w:val="28"/>
          <w:szCs w:val="28"/>
          <w:lang w:val="en-US" w:eastAsia="ru-RU"/>
        </w:rPr>
        <w:t xml:space="preserve">Friday, 13 September 2019 </w:t>
      </w:r>
    </w:p>
    <w:p w:rsidR="002110B3" w:rsidRDefault="002110B3" w:rsidP="002110B3">
      <w:pPr>
        <w:spacing w:line="360" w:lineRule="auto"/>
        <w:ind w:firstLine="708"/>
        <w:jc w:val="right"/>
        <w:rPr>
          <w:rFonts w:ascii="Times New Roman" w:eastAsia="Times New Roman" w:hAnsi="Times New Roman"/>
          <w:i/>
          <w:sz w:val="28"/>
          <w:szCs w:val="28"/>
          <w:lang w:val="en-US" w:eastAsia="ru-RU"/>
        </w:rPr>
      </w:pPr>
      <w:proofErr w:type="spellStart"/>
      <w:r w:rsidRPr="002110B3">
        <w:rPr>
          <w:rFonts w:ascii="Times New Roman" w:eastAsia="Times New Roman" w:hAnsi="Times New Roman"/>
          <w:i/>
          <w:sz w:val="28"/>
          <w:szCs w:val="28"/>
          <w:lang w:val="en-US" w:eastAsia="ru-RU"/>
        </w:rPr>
        <w:t>Sina</w:t>
      </w:r>
      <w:proofErr w:type="spellEnd"/>
      <w:r w:rsidRPr="002110B3">
        <w:rPr>
          <w:rFonts w:ascii="Times New Roman" w:eastAsia="Times New Roman" w:hAnsi="Times New Roman"/>
          <w:i/>
          <w:sz w:val="28"/>
          <w:szCs w:val="28"/>
          <w:lang w:val="en-US" w:eastAsia="ru-RU"/>
        </w:rPr>
        <w:t xml:space="preserve"> Bernini Bristol Hotel </w:t>
      </w:r>
    </w:p>
    <w:p w:rsidR="002110B3" w:rsidRDefault="002110B3" w:rsidP="002110B3">
      <w:pPr>
        <w:spacing w:line="360" w:lineRule="auto"/>
        <w:ind w:firstLine="708"/>
        <w:jc w:val="right"/>
        <w:rPr>
          <w:rFonts w:ascii="Times New Roman" w:eastAsia="Times New Roman" w:hAnsi="Times New Roman"/>
          <w:i/>
          <w:sz w:val="28"/>
          <w:szCs w:val="28"/>
          <w:lang w:val="en-US" w:eastAsia="ru-RU"/>
        </w:rPr>
      </w:pPr>
      <w:r w:rsidRPr="002110B3">
        <w:rPr>
          <w:rFonts w:ascii="Times New Roman" w:eastAsia="Times New Roman" w:hAnsi="Times New Roman"/>
          <w:i/>
          <w:sz w:val="28"/>
          <w:szCs w:val="28"/>
          <w:lang w:val="en-US" w:eastAsia="ru-RU"/>
        </w:rPr>
        <w:t xml:space="preserve">Piazza </w:t>
      </w:r>
      <w:proofErr w:type="spellStart"/>
      <w:r w:rsidRPr="002110B3">
        <w:rPr>
          <w:rFonts w:ascii="Times New Roman" w:eastAsia="Times New Roman" w:hAnsi="Times New Roman"/>
          <w:i/>
          <w:sz w:val="28"/>
          <w:szCs w:val="28"/>
          <w:lang w:val="en-US" w:eastAsia="ru-RU"/>
        </w:rPr>
        <w:t>Barberini</w:t>
      </w:r>
      <w:proofErr w:type="spellEnd"/>
      <w:r w:rsidRPr="002110B3">
        <w:rPr>
          <w:rFonts w:ascii="Times New Roman" w:eastAsia="Times New Roman" w:hAnsi="Times New Roman"/>
          <w:i/>
          <w:sz w:val="28"/>
          <w:szCs w:val="28"/>
          <w:lang w:val="en-US" w:eastAsia="ru-RU"/>
        </w:rPr>
        <w:t xml:space="preserve">, 23, </w:t>
      </w:r>
      <w:r>
        <w:rPr>
          <w:rFonts w:ascii="Times New Roman" w:eastAsia="Times New Roman" w:hAnsi="Times New Roman"/>
          <w:i/>
          <w:sz w:val="28"/>
          <w:szCs w:val="28"/>
          <w:lang w:val="en-US" w:eastAsia="ru-RU"/>
        </w:rPr>
        <w:t>Rome</w:t>
      </w:r>
    </w:p>
    <w:p w:rsidR="002110B3" w:rsidRDefault="002110B3" w:rsidP="002110B3">
      <w:pPr>
        <w:spacing w:line="360" w:lineRule="auto"/>
        <w:ind w:firstLine="708"/>
        <w:jc w:val="center"/>
        <w:rPr>
          <w:rFonts w:ascii="Times New Roman" w:eastAsia="Times New Roman" w:hAnsi="Times New Roman"/>
          <w:b/>
          <w:sz w:val="28"/>
          <w:szCs w:val="28"/>
          <w:lang w:val="en-US" w:eastAsia="ru-RU"/>
        </w:rPr>
      </w:pPr>
    </w:p>
    <w:p w:rsidR="002110B3" w:rsidRDefault="002110B3" w:rsidP="002110B3">
      <w:pPr>
        <w:spacing w:line="360" w:lineRule="auto"/>
        <w:ind w:firstLine="708"/>
        <w:jc w:val="both"/>
        <w:rPr>
          <w:rFonts w:ascii="Times New Roman" w:hAnsi="Times New Roman"/>
          <w:i/>
          <w:sz w:val="28"/>
          <w:szCs w:val="28"/>
          <w:lang w:val="en-US"/>
        </w:rPr>
      </w:pPr>
      <w:r>
        <w:rPr>
          <w:rFonts w:ascii="Times New Roman" w:eastAsia="Times New Roman" w:hAnsi="Times New Roman"/>
          <w:sz w:val="28"/>
          <w:szCs w:val="28"/>
          <w:lang w:val="en-US" w:eastAsia="ru-RU"/>
        </w:rPr>
        <w:t xml:space="preserve"> </w:t>
      </w:r>
    </w:p>
    <w:p w:rsidR="002110B3" w:rsidRDefault="002110B3" w:rsidP="002110B3">
      <w:pPr>
        <w:spacing w:line="360" w:lineRule="auto"/>
        <w:jc w:val="both"/>
        <w:rPr>
          <w:rFonts w:ascii="Times New Roman" w:hAnsi="Times New Roman"/>
          <w:b/>
          <w:sz w:val="28"/>
          <w:szCs w:val="28"/>
          <w:u w:val="single"/>
          <w:lang w:val="en-US"/>
        </w:rPr>
      </w:pPr>
      <w:r>
        <w:rPr>
          <w:rFonts w:ascii="Times New Roman" w:hAnsi="Times New Roman"/>
          <w:b/>
          <w:sz w:val="28"/>
          <w:szCs w:val="28"/>
          <w:u w:val="single"/>
          <w:lang w:val="en-US"/>
        </w:rPr>
        <w:t xml:space="preserve"> Ladies and gentlemen!</w:t>
      </w:r>
    </w:p>
    <w:p w:rsidR="002110B3" w:rsidRPr="002110B3" w:rsidRDefault="002110B3" w:rsidP="002110B3">
      <w:pPr>
        <w:spacing w:line="360" w:lineRule="auto"/>
        <w:jc w:val="both"/>
        <w:rPr>
          <w:rFonts w:ascii="Times New Roman" w:hAnsi="Times New Roman"/>
          <w:b/>
          <w:sz w:val="28"/>
          <w:szCs w:val="28"/>
          <w:u w:val="single"/>
        </w:rPr>
      </w:pPr>
    </w:p>
    <w:p w:rsidR="002110B3" w:rsidRPr="002110B3" w:rsidRDefault="002110B3" w:rsidP="002110B3">
      <w:pPr>
        <w:spacing w:line="360" w:lineRule="auto"/>
        <w:ind w:firstLine="708"/>
        <w:jc w:val="both"/>
        <w:rPr>
          <w:rFonts w:ascii="Times New Roman" w:hAnsi="Times New Roman"/>
          <w:sz w:val="28"/>
          <w:szCs w:val="28"/>
          <w:lang w:val="en-US"/>
        </w:rPr>
      </w:pPr>
      <w:r w:rsidRPr="002110B3">
        <w:rPr>
          <w:rFonts w:ascii="Times New Roman" w:hAnsi="Times New Roman"/>
          <w:sz w:val="28"/>
          <w:szCs w:val="28"/>
          <w:lang w:val="en-US"/>
        </w:rPr>
        <w:t>By adopting in 2015 the UN2030 Agenda for Sustainable Development the world community laid a vector of developm</w:t>
      </w:r>
      <w:bookmarkStart w:id="0" w:name="_GoBack"/>
      <w:bookmarkEnd w:id="0"/>
      <w:r w:rsidRPr="002110B3">
        <w:rPr>
          <w:rFonts w:ascii="Times New Roman" w:hAnsi="Times New Roman"/>
          <w:sz w:val="28"/>
          <w:szCs w:val="28"/>
          <w:lang w:val="en-US"/>
        </w:rPr>
        <w:t xml:space="preserve">ent for the next 15 years with regard to the social, economic and ecological priorities. </w:t>
      </w:r>
    </w:p>
    <w:p w:rsidR="004116DD" w:rsidRDefault="002110B3" w:rsidP="002110B3">
      <w:pPr>
        <w:spacing w:line="360" w:lineRule="auto"/>
        <w:ind w:firstLine="708"/>
        <w:jc w:val="both"/>
        <w:rPr>
          <w:rFonts w:ascii="Times New Roman" w:hAnsi="Times New Roman"/>
          <w:sz w:val="28"/>
          <w:szCs w:val="28"/>
          <w:lang w:val="en-US"/>
        </w:rPr>
      </w:pPr>
      <w:r w:rsidRPr="002110B3">
        <w:rPr>
          <w:rFonts w:ascii="Times New Roman" w:hAnsi="Times New Roman"/>
          <w:sz w:val="28"/>
          <w:szCs w:val="28"/>
          <w:lang w:val="en-US"/>
        </w:rPr>
        <w:t>The SDGs have become key indicators in assessing progress of countries` development and results of the business communities’ activities</w:t>
      </w:r>
      <w:r w:rsidRPr="002110B3">
        <w:rPr>
          <w:rFonts w:ascii="Times New Roman" w:hAnsi="Times New Roman"/>
          <w:sz w:val="28"/>
          <w:szCs w:val="28"/>
          <w:lang w:val="en-US"/>
        </w:rPr>
        <w:t xml:space="preserve">. </w:t>
      </w:r>
    </w:p>
    <w:p w:rsidR="002110B3" w:rsidRDefault="004116DD" w:rsidP="004116DD">
      <w:pPr>
        <w:spacing w:line="360" w:lineRule="auto"/>
        <w:ind w:firstLine="708"/>
        <w:jc w:val="both"/>
        <w:rPr>
          <w:rFonts w:ascii="Times New Roman" w:hAnsi="Times New Roman"/>
          <w:sz w:val="28"/>
          <w:szCs w:val="28"/>
          <w:lang w:val="en-US"/>
        </w:rPr>
      </w:pPr>
      <w:r>
        <w:rPr>
          <w:rFonts w:ascii="Times New Roman" w:hAnsi="Times New Roman"/>
          <w:sz w:val="28"/>
          <w:szCs w:val="28"/>
          <w:lang w:val="en-US"/>
        </w:rPr>
        <w:t xml:space="preserve"> A Survey IOE hold this year on SDGs and Employers’ Organizations Outcomes, shows that the SDG 17 ‘</w:t>
      </w:r>
      <w:r w:rsidRPr="004116DD">
        <w:rPr>
          <w:rFonts w:ascii="Times New Roman" w:hAnsi="Times New Roman"/>
          <w:sz w:val="28"/>
          <w:szCs w:val="28"/>
          <w:lang w:val="en-US"/>
        </w:rPr>
        <w:t>Strengthen the means of implementation and revitalize the Global Partnership for Sustainable Development</w:t>
      </w:r>
      <w:r>
        <w:rPr>
          <w:rFonts w:ascii="Times New Roman" w:hAnsi="Times New Roman"/>
          <w:sz w:val="28"/>
          <w:szCs w:val="28"/>
          <w:lang w:val="en-US"/>
        </w:rPr>
        <w:t xml:space="preserve">’ is among 5 </w:t>
      </w:r>
      <w:r w:rsidRPr="004116DD">
        <w:rPr>
          <w:rFonts w:ascii="Times New Roman" w:hAnsi="Times New Roman"/>
          <w:sz w:val="28"/>
          <w:szCs w:val="28"/>
          <w:lang w:val="en-US"/>
        </w:rPr>
        <w:t xml:space="preserve">priorities </w:t>
      </w:r>
      <w:r>
        <w:rPr>
          <w:rFonts w:ascii="Times New Roman" w:hAnsi="Times New Roman"/>
          <w:sz w:val="28"/>
          <w:szCs w:val="28"/>
          <w:lang w:val="en-US"/>
        </w:rPr>
        <w:t xml:space="preserve">SDGs companies </w:t>
      </w:r>
      <w:r w:rsidRPr="004116DD">
        <w:rPr>
          <w:rFonts w:ascii="Times New Roman" w:hAnsi="Times New Roman"/>
          <w:sz w:val="28"/>
          <w:szCs w:val="28"/>
          <w:lang w:val="en-US"/>
        </w:rPr>
        <w:t>would like to focus on</w:t>
      </w:r>
      <w:r>
        <w:rPr>
          <w:rFonts w:ascii="Times New Roman" w:hAnsi="Times New Roman"/>
          <w:sz w:val="28"/>
          <w:szCs w:val="28"/>
          <w:lang w:val="en-US"/>
        </w:rPr>
        <w:t xml:space="preserve">.  Considering SDG 17 as an undeniable part of Social Dialog we think that its achievement is one of the global lobbing instrument what business can use also via increase of its contribution to the </w:t>
      </w:r>
      <w:r w:rsidRPr="004116DD">
        <w:rPr>
          <w:rFonts w:ascii="Times New Roman" w:hAnsi="Times New Roman"/>
          <w:sz w:val="28"/>
          <w:szCs w:val="28"/>
          <w:lang w:val="en-US"/>
        </w:rPr>
        <w:t>Official development aid</w:t>
      </w:r>
      <w:r w:rsidRPr="004116DD">
        <w:rPr>
          <w:lang w:val="en-US"/>
        </w:rPr>
        <w:t xml:space="preserve"> </w:t>
      </w:r>
      <w:r>
        <w:rPr>
          <w:lang w:val="en-US"/>
        </w:rPr>
        <w:t>(</w:t>
      </w:r>
      <w:r w:rsidRPr="004116DD">
        <w:rPr>
          <w:rFonts w:ascii="Times New Roman" w:hAnsi="Times New Roman"/>
          <w:sz w:val="28"/>
          <w:szCs w:val="28"/>
          <w:lang w:val="en-US"/>
        </w:rPr>
        <w:t>ODA</w:t>
      </w:r>
      <w:proofErr w:type="gramStart"/>
      <w:r>
        <w:rPr>
          <w:rFonts w:ascii="Times New Roman" w:hAnsi="Times New Roman"/>
          <w:sz w:val="28"/>
          <w:szCs w:val="28"/>
          <w:lang w:val="en-US"/>
        </w:rPr>
        <w:t>) .</w:t>
      </w:r>
      <w:proofErr w:type="gramEnd"/>
      <w:r>
        <w:rPr>
          <w:rFonts w:ascii="Times New Roman" w:hAnsi="Times New Roman"/>
          <w:sz w:val="28"/>
          <w:szCs w:val="28"/>
          <w:lang w:val="en-US"/>
        </w:rPr>
        <w:t xml:space="preserve"> </w:t>
      </w:r>
      <w:r w:rsidR="00441911">
        <w:rPr>
          <w:rFonts w:ascii="Times New Roman" w:hAnsi="Times New Roman"/>
          <w:sz w:val="28"/>
          <w:szCs w:val="28"/>
          <w:lang w:val="en-US"/>
        </w:rPr>
        <w:t xml:space="preserve">Net </w:t>
      </w:r>
      <w:r>
        <w:rPr>
          <w:rFonts w:ascii="Times New Roman" w:hAnsi="Times New Roman"/>
          <w:sz w:val="28"/>
          <w:szCs w:val="28"/>
          <w:lang w:val="en-US"/>
        </w:rPr>
        <w:t>ODA</w:t>
      </w:r>
      <w:r w:rsidRPr="004116DD">
        <w:rPr>
          <w:rFonts w:ascii="Times New Roman" w:hAnsi="Times New Roman"/>
          <w:sz w:val="28"/>
          <w:szCs w:val="28"/>
          <w:lang w:val="en-US"/>
        </w:rPr>
        <w:t xml:space="preserve"> </w:t>
      </w:r>
      <w:r w:rsidR="00441911" w:rsidRPr="004116DD">
        <w:rPr>
          <w:rFonts w:ascii="Times New Roman" w:hAnsi="Times New Roman"/>
          <w:sz w:val="28"/>
          <w:szCs w:val="28"/>
          <w:lang w:val="en-US"/>
        </w:rPr>
        <w:t>totaled</w:t>
      </w:r>
      <w:r w:rsidRPr="004116DD">
        <w:rPr>
          <w:rFonts w:ascii="Times New Roman" w:hAnsi="Times New Roman"/>
          <w:sz w:val="28"/>
          <w:szCs w:val="28"/>
          <w:lang w:val="en-US"/>
        </w:rPr>
        <w:t xml:space="preserve"> $149 billion in 2018, down by 2.7 per cent in real terms from 2017. The decline was largely due to a reduction in </w:t>
      </w:r>
      <w:r w:rsidRPr="004116DD">
        <w:rPr>
          <w:rFonts w:ascii="Times New Roman" w:hAnsi="Times New Roman"/>
          <w:sz w:val="28"/>
          <w:szCs w:val="28"/>
          <w:lang w:val="en-US"/>
        </w:rPr>
        <w:lastRenderedPageBreak/>
        <w:t xml:space="preserve">donor country aid for hosting refugees. Aid for bilateral projects, </w:t>
      </w:r>
      <w:proofErr w:type="spellStart"/>
      <w:r w:rsidRPr="004116DD">
        <w:rPr>
          <w:rFonts w:ascii="Times New Roman" w:hAnsi="Times New Roman"/>
          <w:sz w:val="28"/>
          <w:szCs w:val="28"/>
          <w:lang w:val="en-US"/>
        </w:rPr>
        <w:t>programmes</w:t>
      </w:r>
      <w:proofErr w:type="spellEnd"/>
      <w:r w:rsidRPr="004116DD">
        <w:rPr>
          <w:rFonts w:ascii="Times New Roman" w:hAnsi="Times New Roman"/>
          <w:sz w:val="28"/>
          <w:szCs w:val="28"/>
          <w:lang w:val="en-US"/>
        </w:rPr>
        <w:t xml:space="preserve"> and technical assistance, which represents over half of total net ODA, rose by 1.3 per cent in real terms from 2017 to 2018. Contributions to multilateral organizations, which represent about one third of total net ODA, were stable. Humanitarian aid fell by 8 per cent in real terms.</w:t>
      </w:r>
    </w:p>
    <w:p w:rsidR="00441911" w:rsidRPr="00441911" w:rsidRDefault="00441911" w:rsidP="00441911">
      <w:pPr>
        <w:spacing w:line="360" w:lineRule="auto"/>
        <w:ind w:firstLine="708"/>
        <w:jc w:val="both"/>
        <w:rPr>
          <w:rFonts w:ascii="Times New Roman" w:hAnsi="Times New Roman"/>
          <w:sz w:val="28"/>
          <w:szCs w:val="28"/>
          <w:lang w:val="en-US"/>
        </w:rPr>
      </w:pPr>
      <w:r>
        <w:rPr>
          <w:rFonts w:ascii="Times New Roman" w:hAnsi="Times New Roman"/>
          <w:sz w:val="28"/>
          <w:szCs w:val="28"/>
          <w:lang w:val="en-US"/>
        </w:rPr>
        <w:t xml:space="preserve"> </w:t>
      </w:r>
      <w:r w:rsidRPr="00441911">
        <w:rPr>
          <w:rFonts w:ascii="Times New Roman" w:hAnsi="Times New Roman"/>
          <w:sz w:val="28"/>
          <w:szCs w:val="28"/>
          <w:lang w:val="en-US"/>
        </w:rPr>
        <w:t>Effective mobilization of domestic resources, including through taxation, is critical to achieving the SDGs</w:t>
      </w:r>
      <w:r>
        <w:rPr>
          <w:rFonts w:ascii="Times New Roman" w:hAnsi="Times New Roman"/>
          <w:sz w:val="28"/>
          <w:szCs w:val="28"/>
          <w:lang w:val="en-US"/>
        </w:rPr>
        <w:t>.</w:t>
      </w:r>
      <w:r w:rsidRPr="00441911">
        <w:rPr>
          <w:rFonts w:ascii="Times New Roman" w:hAnsi="Times New Roman"/>
          <w:sz w:val="28"/>
          <w:szCs w:val="28"/>
          <w:lang w:val="en-US"/>
        </w:rPr>
        <w:t xml:space="preserve"> </w:t>
      </w:r>
      <w:r w:rsidRPr="00441911">
        <w:rPr>
          <w:rFonts w:ascii="Times New Roman" w:hAnsi="Times New Roman"/>
          <w:sz w:val="28"/>
          <w:szCs w:val="28"/>
          <w:lang w:val="en-US"/>
        </w:rPr>
        <w:t>The effective mobilization and use of domestic resources, underscored by the principle of national ownership, is vital to achieving the SDGs. Assessing the tax burden—that is, revenue in the form of taxes—is an important fiscal policy exercise with economic and social implications. The average overall rate of taxation among the Group of 20 and other advanced economies was 23 per cent of GDP in 2017, compared to 18 per cent among developing and emerging market economies.</w:t>
      </w:r>
    </w:p>
    <w:p w:rsidR="00441911" w:rsidRPr="00441911" w:rsidRDefault="00441911" w:rsidP="00441911">
      <w:pPr>
        <w:spacing w:line="360" w:lineRule="auto"/>
        <w:ind w:firstLine="708"/>
        <w:jc w:val="both"/>
        <w:rPr>
          <w:rFonts w:ascii="Times New Roman" w:hAnsi="Times New Roman"/>
          <w:sz w:val="28"/>
          <w:szCs w:val="28"/>
          <w:lang w:val="en-US"/>
        </w:rPr>
      </w:pPr>
      <w:r w:rsidRPr="00441911">
        <w:rPr>
          <w:rFonts w:ascii="Times New Roman" w:hAnsi="Times New Roman"/>
          <w:sz w:val="28"/>
          <w:szCs w:val="28"/>
          <w:lang w:val="en-US"/>
        </w:rPr>
        <w:t>On average, in 2017, the share of government expenditure funded by taxes was 64 per cent among the Group of 20 and other advanced economies and 61 per cent among emerging market economies. Globally, the slight reduction in the role of taxes in government spending—from an average of 64.5 per cent in 2005 to 62.3 per cent in 2017—may be attributable to a combination of improved revenue mobilization and public financial management.</w:t>
      </w:r>
      <w:r w:rsidRPr="00441911">
        <w:rPr>
          <w:lang w:val="en-US"/>
        </w:rPr>
        <w:t xml:space="preserve"> </w:t>
      </w:r>
      <w:r w:rsidRPr="00441911">
        <w:rPr>
          <w:rFonts w:ascii="Times New Roman" w:hAnsi="Times New Roman"/>
          <w:sz w:val="28"/>
          <w:szCs w:val="28"/>
          <w:lang w:val="en-US"/>
        </w:rPr>
        <w:t xml:space="preserve">Trade tensions among the world’s largest economies are reverberating, affecting producers and consumers worldwide </w:t>
      </w:r>
    </w:p>
    <w:p w:rsidR="00441911" w:rsidRPr="00441911" w:rsidRDefault="00441911" w:rsidP="00441911">
      <w:pPr>
        <w:spacing w:line="360" w:lineRule="auto"/>
        <w:ind w:firstLine="708"/>
        <w:jc w:val="both"/>
        <w:rPr>
          <w:rFonts w:ascii="Times New Roman" w:hAnsi="Times New Roman"/>
          <w:sz w:val="28"/>
          <w:szCs w:val="28"/>
          <w:lang w:val="en-US"/>
        </w:rPr>
      </w:pPr>
      <w:r w:rsidRPr="00441911">
        <w:rPr>
          <w:rFonts w:ascii="Times New Roman" w:hAnsi="Times New Roman"/>
          <w:sz w:val="28"/>
          <w:szCs w:val="28"/>
          <w:lang w:val="en-US"/>
        </w:rPr>
        <w:t>Decreasing tariffs provide wider access to goods and contribute to a more open trading system. However, ongoing and increasing trade tensions among large economies have adversely affected consumers and producers worldwide and negatively impacted business and financial markets. Those tensions also cast doubt on the future of a sound multilateral trading system under the World Trade Organization.</w:t>
      </w:r>
    </w:p>
    <w:p w:rsidR="00441911" w:rsidRDefault="00441911" w:rsidP="00441911">
      <w:pPr>
        <w:spacing w:line="360" w:lineRule="auto"/>
        <w:ind w:firstLine="708"/>
        <w:jc w:val="both"/>
        <w:rPr>
          <w:rFonts w:ascii="Times New Roman" w:hAnsi="Times New Roman"/>
          <w:sz w:val="28"/>
          <w:szCs w:val="28"/>
          <w:lang w:val="en-US"/>
        </w:rPr>
      </w:pPr>
      <w:r w:rsidRPr="00441911">
        <w:rPr>
          <w:rFonts w:ascii="Times New Roman" w:hAnsi="Times New Roman"/>
          <w:sz w:val="28"/>
          <w:szCs w:val="28"/>
          <w:lang w:val="en-US"/>
        </w:rPr>
        <w:t xml:space="preserve">In 2017, trade-weighted tariffs decreased to an average of 2.2 per cent worldwide. Large differences were found at the regional level, however, reflecting global economic imbalances. The highest tariff rates in 2017 were applied by sub-Saharan African and LDCs, averaging 7.1 per cent and 7.8 per cent, respectively, </w:t>
      </w:r>
      <w:r w:rsidRPr="00441911">
        <w:rPr>
          <w:rFonts w:ascii="Times New Roman" w:hAnsi="Times New Roman"/>
          <w:sz w:val="28"/>
          <w:szCs w:val="28"/>
          <w:lang w:val="en-US"/>
        </w:rPr>
        <w:lastRenderedPageBreak/>
        <w:t>of the value of imported merchandise. Those tariffs were significantly higher than those applied by high-income countries (1.2 per cent) as well as developing regions as a whole (3.7 per cent). South-Eastern Asia had an import tariff rate of 1.7 per cent, indicating the region’s growing openness to international trade.</w:t>
      </w:r>
    </w:p>
    <w:p w:rsidR="00441911" w:rsidRDefault="00441911" w:rsidP="00441911">
      <w:pPr>
        <w:spacing w:line="360" w:lineRule="auto"/>
        <w:ind w:firstLine="708"/>
        <w:jc w:val="both"/>
        <w:rPr>
          <w:rFonts w:ascii="Times New Roman" w:hAnsi="Times New Roman"/>
          <w:sz w:val="28"/>
          <w:szCs w:val="28"/>
          <w:lang w:val="en-US"/>
        </w:rPr>
      </w:pPr>
      <w:r>
        <w:rPr>
          <w:rFonts w:ascii="Times New Roman" w:hAnsi="Times New Roman"/>
          <w:sz w:val="28"/>
          <w:szCs w:val="28"/>
          <w:lang w:val="en-US"/>
        </w:rPr>
        <w:t xml:space="preserve">Active business participation in BRICS, B- 20, OECD, </w:t>
      </w:r>
      <w:r w:rsidR="00A34AE0">
        <w:rPr>
          <w:rFonts w:ascii="Times New Roman" w:hAnsi="Times New Roman"/>
          <w:sz w:val="28"/>
          <w:szCs w:val="28"/>
          <w:lang w:val="en-US"/>
        </w:rPr>
        <w:t>and ECOSOC</w:t>
      </w:r>
      <w:r>
        <w:rPr>
          <w:rFonts w:ascii="Times New Roman" w:hAnsi="Times New Roman"/>
          <w:sz w:val="28"/>
          <w:szCs w:val="28"/>
          <w:lang w:val="en-US"/>
        </w:rPr>
        <w:t xml:space="preserve"> is a possibility to deliver a message to the Global </w:t>
      </w:r>
      <w:r w:rsidR="00A34AE0">
        <w:rPr>
          <w:rFonts w:ascii="Times New Roman" w:hAnsi="Times New Roman"/>
          <w:sz w:val="28"/>
          <w:szCs w:val="28"/>
          <w:lang w:val="en-US"/>
        </w:rPr>
        <w:t>leaders</w:t>
      </w:r>
      <w:r>
        <w:rPr>
          <w:rFonts w:ascii="Times New Roman" w:hAnsi="Times New Roman"/>
          <w:sz w:val="28"/>
          <w:szCs w:val="28"/>
          <w:lang w:val="en-US"/>
        </w:rPr>
        <w:t xml:space="preserve"> and to lobby its interests by </w:t>
      </w:r>
      <w:r w:rsidR="00A34AE0">
        <w:rPr>
          <w:rFonts w:ascii="Times New Roman" w:hAnsi="Times New Roman"/>
          <w:sz w:val="28"/>
          <w:szCs w:val="28"/>
          <w:lang w:val="en-US"/>
        </w:rPr>
        <w:t>inserting</w:t>
      </w:r>
      <w:r>
        <w:rPr>
          <w:rFonts w:ascii="Times New Roman" w:hAnsi="Times New Roman"/>
          <w:sz w:val="28"/>
          <w:szCs w:val="28"/>
          <w:lang w:val="en-US"/>
        </w:rPr>
        <w:t xml:space="preserve"> the questions of critical importance into the Global political</w:t>
      </w:r>
      <w:r w:rsidR="00A34AE0">
        <w:rPr>
          <w:rFonts w:ascii="Times New Roman" w:hAnsi="Times New Roman"/>
          <w:sz w:val="28"/>
          <w:szCs w:val="28"/>
          <w:lang w:val="en-US"/>
        </w:rPr>
        <w:t xml:space="preserve"> A</w:t>
      </w:r>
      <w:r>
        <w:rPr>
          <w:rFonts w:ascii="Times New Roman" w:hAnsi="Times New Roman"/>
          <w:sz w:val="28"/>
          <w:szCs w:val="28"/>
          <w:lang w:val="en-US"/>
        </w:rPr>
        <w:t xml:space="preserve">genda. </w:t>
      </w:r>
      <w:r w:rsidR="00A34AE0">
        <w:rPr>
          <w:rFonts w:ascii="Times New Roman" w:hAnsi="Times New Roman"/>
          <w:sz w:val="28"/>
          <w:szCs w:val="28"/>
          <w:lang w:val="en-US"/>
        </w:rPr>
        <w:t>It’s</w:t>
      </w:r>
      <w:r>
        <w:rPr>
          <w:rFonts w:ascii="Times New Roman" w:hAnsi="Times New Roman"/>
          <w:sz w:val="28"/>
          <w:szCs w:val="28"/>
          <w:lang w:val="en-US"/>
        </w:rPr>
        <w:t xml:space="preserve"> </w:t>
      </w:r>
      <w:r w:rsidR="00A34AE0">
        <w:rPr>
          <w:rFonts w:ascii="Times New Roman" w:hAnsi="Times New Roman"/>
          <w:sz w:val="28"/>
          <w:szCs w:val="28"/>
          <w:lang w:val="en-US"/>
        </w:rPr>
        <w:t>even</w:t>
      </w:r>
      <w:r>
        <w:rPr>
          <w:rFonts w:ascii="Times New Roman" w:hAnsi="Times New Roman"/>
          <w:sz w:val="28"/>
          <w:szCs w:val="28"/>
          <w:lang w:val="en-US"/>
        </w:rPr>
        <w:t xml:space="preserve"> more </w:t>
      </w:r>
      <w:r w:rsidR="00A34AE0">
        <w:rPr>
          <w:rFonts w:ascii="Times New Roman" w:hAnsi="Times New Roman"/>
          <w:sz w:val="28"/>
          <w:szCs w:val="28"/>
          <w:lang w:val="en-US"/>
        </w:rPr>
        <w:t>important</w:t>
      </w:r>
      <w:r>
        <w:rPr>
          <w:rFonts w:ascii="Times New Roman" w:hAnsi="Times New Roman"/>
          <w:sz w:val="28"/>
          <w:szCs w:val="28"/>
          <w:lang w:val="en-US"/>
        </w:rPr>
        <w:t xml:space="preserve"> due to the fact that current demand for </w:t>
      </w:r>
      <w:r w:rsidR="00A34AE0">
        <w:rPr>
          <w:rFonts w:ascii="Times New Roman" w:hAnsi="Times New Roman"/>
          <w:sz w:val="28"/>
          <w:szCs w:val="28"/>
          <w:lang w:val="en-US"/>
        </w:rPr>
        <w:t>business,</w:t>
      </w:r>
      <w:r>
        <w:rPr>
          <w:rFonts w:ascii="Times New Roman" w:hAnsi="Times New Roman"/>
          <w:sz w:val="28"/>
          <w:szCs w:val="28"/>
          <w:lang w:val="en-US"/>
        </w:rPr>
        <w:t xml:space="preserve"> </w:t>
      </w:r>
      <w:r w:rsidR="00A34AE0">
        <w:rPr>
          <w:rFonts w:ascii="Times New Roman" w:hAnsi="Times New Roman"/>
          <w:sz w:val="28"/>
          <w:szCs w:val="28"/>
          <w:lang w:val="en-US"/>
        </w:rPr>
        <w:t>especially</w:t>
      </w:r>
      <w:r>
        <w:rPr>
          <w:rFonts w:ascii="Times New Roman" w:hAnsi="Times New Roman"/>
          <w:sz w:val="28"/>
          <w:szCs w:val="28"/>
          <w:lang w:val="en-US"/>
        </w:rPr>
        <w:t xml:space="preserve"> for the </w:t>
      </w:r>
      <w:r w:rsidR="00A34AE0">
        <w:rPr>
          <w:rFonts w:ascii="Times New Roman" w:hAnsi="Times New Roman"/>
          <w:sz w:val="28"/>
          <w:szCs w:val="28"/>
          <w:lang w:val="en-US"/>
        </w:rPr>
        <w:t>Multinational (Global)</w:t>
      </w:r>
      <w:r>
        <w:rPr>
          <w:rFonts w:ascii="Times New Roman" w:hAnsi="Times New Roman"/>
          <w:sz w:val="28"/>
          <w:szCs w:val="28"/>
          <w:lang w:val="en-US"/>
        </w:rPr>
        <w:t xml:space="preserve"> Corporations from the </w:t>
      </w:r>
      <w:r w:rsidR="00A34AE0">
        <w:rPr>
          <w:rFonts w:ascii="Times New Roman" w:hAnsi="Times New Roman"/>
          <w:sz w:val="28"/>
          <w:szCs w:val="28"/>
          <w:lang w:val="en-US"/>
        </w:rPr>
        <w:t>outer</w:t>
      </w:r>
      <w:r>
        <w:rPr>
          <w:rFonts w:ascii="Times New Roman" w:hAnsi="Times New Roman"/>
          <w:sz w:val="28"/>
          <w:szCs w:val="28"/>
          <w:lang w:val="en-US"/>
        </w:rPr>
        <w:t xml:space="preserve"> world is such</w:t>
      </w:r>
      <w:r w:rsidR="00A34AE0">
        <w:rPr>
          <w:rFonts w:ascii="Times New Roman" w:hAnsi="Times New Roman"/>
          <w:sz w:val="28"/>
          <w:szCs w:val="28"/>
          <w:lang w:val="en-US"/>
        </w:rPr>
        <w:t xml:space="preserve"> that i</w:t>
      </w:r>
      <w:r>
        <w:rPr>
          <w:rFonts w:ascii="Times New Roman" w:hAnsi="Times New Roman"/>
          <w:sz w:val="28"/>
          <w:szCs w:val="28"/>
          <w:lang w:val="en-US"/>
        </w:rPr>
        <w:t xml:space="preserve">n </w:t>
      </w:r>
      <w:r w:rsidR="00A34AE0">
        <w:rPr>
          <w:rFonts w:ascii="Times New Roman" w:hAnsi="Times New Roman"/>
          <w:sz w:val="28"/>
          <w:szCs w:val="28"/>
          <w:lang w:val="en-US"/>
        </w:rPr>
        <w:t>some</w:t>
      </w:r>
      <w:r>
        <w:rPr>
          <w:rFonts w:ascii="Times New Roman" w:hAnsi="Times New Roman"/>
          <w:sz w:val="28"/>
          <w:szCs w:val="28"/>
          <w:lang w:val="en-US"/>
        </w:rPr>
        <w:t xml:space="preserve"> cases </w:t>
      </w:r>
      <w:r w:rsidR="00A34AE0">
        <w:rPr>
          <w:rFonts w:ascii="Times New Roman" w:hAnsi="Times New Roman"/>
          <w:sz w:val="28"/>
          <w:szCs w:val="28"/>
          <w:lang w:val="en-US"/>
        </w:rPr>
        <w:t>they are expected to fulfill the functions of the State via their corporate and social programmers. On top some Governments driven by the good intention to promote a social dialog as it is are coming with propositions with no consultations from business, Employers Organizations’ side but just by imposing obligations they think might serve the best for all. (</w:t>
      </w:r>
      <w:proofErr w:type="gramStart"/>
      <w:r w:rsidR="00A34AE0">
        <w:rPr>
          <w:rFonts w:ascii="Times New Roman" w:hAnsi="Times New Roman"/>
          <w:sz w:val="28"/>
          <w:szCs w:val="28"/>
          <w:lang w:val="en-US"/>
        </w:rPr>
        <w:t>as</w:t>
      </w:r>
      <w:proofErr w:type="gramEnd"/>
      <w:r w:rsidR="00A34AE0">
        <w:rPr>
          <w:rFonts w:ascii="Times New Roman" w:hAnsi="Times New Roman"/>
          <w:sz w:val="28"/>
          <w:szCs w:val="28"/>
          <w:lang w:val="en-US"/>
        </w:rPr>
        <w:t xml:space="preserve"> example The Global Deal: Enhance Social Dialog for Decent Work and inclusive Growth, initiative by Swedish Government). In this respect Employers Organizations via IOE (on the Global Level) and by themselves on the national level</w:t>
      </w:r>
      <w:r w:rsidR="00F85DB3">
        <w:rPr>
          <w:rFonts w:ascii="Times New Roman" w:hAnsi="Times New Roman"/>
          <w:sz w:val="28"/>
          <w:szCs w:val="28"/>
        </w:rPr>
        <w:t>ы</w:t>
      </w:r>
      <w:r w:rsidR="00F85DB3" w:rsidRPr="00F85DB3">
        <w:rPr>
          <w:rFonts w:ascii="Times New Roman" w:hAnsi="Times New Roman"/>
          <w:sz w:val="28"/>
          <w:szCs w:val="28"/>
          <w:lang w:val="en-US"/>
        </w:rPr>
        <w:t xml:space="preserve"> </w:t>
      </w:r>
      <w:r w:rsidR="00F85DB3">
        <w:rPr>
          <w:rFonts w:ascii="Times New Roman" w:hAnsi="Times New Roman"/>
          <w:sz w:val="28"/>
          <w:szCs w:val="28"/>
          <w:lang w:val="en-US"/>
        </w:rPr>
        <w:t>should</w:t>
      </w:r>
      <w:r w:rsidR="00A34AE0">
        <w:rPr>
          <w:rFonts w:ascii="Times New Roman" w:hAnsi="Times New Roman"/>
          <w:sz w:val="28"/>
          <w:szCs w:val="28"/>
          <w:lang w:val="en-US"/>
        </w:rPr>
        <w:t xml:space="preserve"> stand together to deliver a right message to the Government</w:t>
      </w:r>
      <w:r w:rsidR="00F85DB3">
        <w:rPr>
          <w:rFonts w:ascii="Times New Roman" w:hAnsi="Times New Roman"/>
          <w:sz w:val="28"/>
          <w:szCs w:val="28"/>
          <w:lang w:val="en-US"/>
        </w:rPr>
        <w:t>s,</w:t>
      </w:r>
      <w:r w:rsidR="00A34AE0">
        <w:rPr>
          <w:rFonts w:ascii="Times New Roman" w:hAnsi="Times New Roman"/>
          <w:sz w:val="28"/>
          <w:szCs w:val="28"/>
          <w:lang w:val="en-US"/>
        </w:rPr>
        <w:t xml:space="preserve"> International Community and Trade Unions.</w:t>
      </w:r>
    </w:p>
    <w:p w:rsidR="00581E52" w:rsidRDefault="00A34AE0" w:rsidP="00F85DB3">
      <w:pPr>
        <w:spacing w:line="360" w:lineRule="auto"/>
        <w:ind w:firstLine="708"/>
        <w:jc w:val="both"/>
        <w:rPr>
          <w:rFonts w:ascii="Times New Roman" w:hAnsi="Times New Roman"/>
          <w:sz w:val="28"/>
          <w:szCs w:val="28"/>
          <w:lang w:val="en-US"/>
        </w:rPr>
      </w:pPr>
      <w:r>
        <w:rPr>
          <w:rFonts w:ascii="Times New Roman" w:hAnsi="Times New Roman"/>
          <w:sz w:val="28"/>
          <w:szCs w:val="28"/>
          <w:lang w:val="en-US"/>
        </w:rPr>
        <w:t xml:space="preserve"> It’s also applicable to the cases </w:t>
      </w:r>
      <w:r w:rsidR="00F85DB3">
        <w:rPr>
          <w:rFonts w:ascii="Times New Roman" w:hAnsi="Times New Roman"/>
          <w:sz w:val="28"/>
          <w:szCs w:val="28"/>
          <w:lang w:val="en-US"/>
        </w:rPr>
        <w:t>where</w:t>
      </w:r>
      <w:r>
        <w:rPr>
          <w:rFonts w:ascii="Times New Roman" w:hAnsi="Times New Roman"/>
          <w:sz w:val="28"/>
          <w:szCs w:val="28"/>
          <w:lang w:val="en-US"/>
        </w:rPr>
        <w:t xml:space="preserve"> some</w:t>
      </w:r>
      <w:r w:rsidR="00F85DB3">
        <w:rPr>
          <w:rFonts w:ascii="Times New Roman" w:hAnsi="Times New Roman"/>
          <w:sz w:val="28"/>
          <w:szCs w:val="28"/>
          <w:lang w:val="en-US"/>
        </w:rPr>
        <w:t xml:space="preserve"> legally recognized economic sectors (as example tobacco) are due to the</w:t>
      </w:r>
      <w:r>
        <w:rPr>
          <w:rFonts w:ascii="Times New Roman" w:hAnsi="Times New Roman"/>
          <w:sz w:val="28"/>
          <w:szCs w:val="28"/>
          <w:lang w:val="en-US"/>
        </w:rPr>
        <w:t xml:space="preserve"> </w:t>
      </w:r>
      <w:r w:rsidR="00F85DB3">
        <w:rPr>
          <w:rFonts w:ascii="Times New Roman" w:hAnsi="Times New Roman"/>
          <w:sz w:val="28"/>
          <w:szCs w:val="28"/>
          <w:lang w:val="en-US"/>
        </w:rPr>
        <w:t xml:space="preserve">mass pressure of different form are turning up to be a total outlaws is a way of communications within the </w:t>
      </w:r>
      <w:r w:rsidR="00F85DB3" w:rsidRPr="00F85DB3">
        <w:rPr>
          <w:rFonts w:ascii="Times New Roman" w:hAnsi="Times New Roman"/>
          <w:sz w:val="28"/>
          <w:szCs w:val="28"/>
          <w:lang w:val="en-US"/>
        </w:rPr>
        <w:t>SDG's</w:t>
      </w:r>
      <w:r w:rsidR="00F85DB3">
        <w:rPr>
          <w:rFonts w:ascii="Times New Roman" w:hAnsi="Times New Roman"/>
          <w:sz w:val="28"/>
          <w:szCs w:val="28"/>
          <w:lang w:val="en-US"/>
        </w:rPr>
        <w:t xml:space="preserve"> process achievements, violating its imperative "leave no one </w:t>
      </w:r>
      <w:r w:rsidR="00F85DB3" w:rsidRPr="00F85DB3">
        <w:rPr>
          <w:rFonts w:ascii="Times New Roman" w:hAnsi="Times New Roman"/>
          <w:sz w:val="28"/>
          <w:szCs w:val="28"/>
          <w:lang w:val="en-US"/>
        </w:rPr>
        <w:t>behind"</w:t>
      </w:r>
      <w:r w:rsidR="00F85DB3">
        <w:rPr>
          <w:rFonts w:ascii="Times New Roman" w:hAnsi="Times New Roman"/>
          <w:sz w:val="28"/>
          <w:szCs w:val="28"/>
          <w:lang w:val="en-US"/>
        </w:rPr>
        <w:t xml:space="preserve"> and from the other side such </w:t>
      </w:r>
      <w:r w:rsidR="00F85DB3" w:rsidRPr="00F85DB3">
        <w:rPr>
          <w:rFonts w:ascii="Times New Roman" w:hAnsi="Times New Roman"/>
          <w:sz w:val="28"/>
          <w:szCs w:val="28"/>
          <w:lang w:val="en-US"/>
        </w:rPr>
        <w:t>businesses are legitimate enough to pay taxes to governments</w:t>
      </w:r>
      <w:r w:rsidR="00F85DB3">
        <w:rPr>
          <w:rFonts w:ascii="Times New Roman" w:hAnsi="Times New Roman"/>
          <w:sz w:val="28"/>
          <w:szCs w:val="28"/>
          <w:lang w:val="en-US"/>
        </w:rPr>
        <w:t>.</w:t>
      </w:r>
    </w:p>
    <w:p w:rsidR="00A34AE0" w:rsidRDefault="00F85DB3" w:rsidP="00F85DB3">
      <w:pPr>
        <w:spacing w:line="360" w:lineRule="auto"/>
        <w:ind w:firstLine="708"/>
        <w:jc w:val="both"/>
        <w:rPr>
          <w:rFonts w:ascii="Times New Roman" w:hAnsi="Times New Roman"/>
          <w:sz w:val="28"/>
          <w:szCs w:val="28"/>
          <w:lang w:val="en-US"/>
        </w:rPr>
      </w:pPr>
      <w:r>
        <w:rPr>
          <w:rFonts w:ascii="Times New Roman" w:hAnsi="Times New Roman"/>
          <w:sz w:val="28"/>
          <w:szCs w:val="28"/>
          <w:lang w:val="en-US"/>
        </w:rPr>
        <w:t xml:space="preserve"> That required a scrupulous discussion</w:t>
      </w:r>
      <w:r w:rsidR="00581E52">
        <w:rPr>
          <w:rFonts w:ascii="Times New Roman" w:hAnsi="Times New Roman"/>
          <w:sz w:val="28"/>
          <w:szCs w:val="28"/>
          <w:lang w:val="en-US"/>
        </w:rPr>
        <w:t xml:space="preserve"> and proper lobbing</w:t>
      </w:r>
      <w:r>
        <w:rPr>
          <w:rFonts w:ascii="Times New Roman" w:hAnsi="Times New Roman"/>
          <w:sz w:val="28"/>
          <w:szCs w:val="28"/>
          <w:lang w:val="en-US"/>
        </w:rPr>
        <w:t xml:space="preserve"> on all levels as among the Employers organization, </w:t>
      </w:r>
      <w:r w:rsidR="00581E52">
        <w:rPr>
          <w:rFonts w:ascii="Times New Roman" w:hAnsi="Times New Roman"/>
          <w:sz w:val="28"/>
          <w:szCs w:val="28"/>
          <w:lang w:val="en-US"/>
        </w:rPr>
        <w:t xml:space="preserve">while acting on the national or sub regional level, </w:t>
      </w:r>
      <w:r>
        <w:rPr>
          <w:rFonts w:ascii="Times New Roman" w:hAnsi="Times New Roman"/>
          <w:sz w:val="28"/>
          <w:szCs w:val="28"/>
          <w:lang w:val="en-US"/>
        </w:rPr>
        <w:t xml:space="preserve">as for the IOE, while lobbing on the Global </w:t>
      </w:r>
      <w:r w:rsidR="00581E52">
        <w:rPr>
          <w:rFonts w:ascii="Times New Roman" w:hAnsi="Times New Roman"/>
          <w:sz w:val="28"/>
          <w:szCs w:val="28"/>
          <w:lang w:val="en-US"/>
        </w:rPr>
        <w:t>platforms</w:t>
      </w:r>
      <w:r>
        <w:rPr>
          <w:rFonts w:ascii="Times New Roman" w:hAnsi="Times New Roman"/>
          <w:sz w:val="28"/>
          <w:szCs w:val="28"/>
          <w:lang w:val="en-US"/>
        </w:rPr>
        <w:t xml:space="preserve">. </w:t>
      </w:r>
    </w:p>
    <w:p w:rsidR="00581E52" w:rsidRPr="002110B3" w:rsidRDefault="00581E52" w:rsidP="00F85DB3">
      <w:pPr>
        <w:spacing w:line="360" w:lineRule="auto"/>
        <w:ind w:firstLine="708"/>
        <w:jc w:val="both"/>
        <w:rPr>
          <w:rFonts w:ascii="Times New Roman" w:hAnsi="Times New Roman"/>
          <w:sz w:val="28"/>
          <w:szCs w:val="28"/>
          <w:lang w:val="en-US"/>
        </w:rPr>
      </w:pPr>
      <w:r>
        <w:rPr>
          <w:rFonts w:ascii="Times New Roman" w:hAnsi="Times New Roman"/>
          <w:sz w:val="28"/>
          <w:szCs w:val="28"/>
          <w:lang w:val="en-US"/>
        </w:rPr>
        <w:t xml:space="preserve"> That’s why, by closing my intervention, I would like to endorse the IOE initiative, which is supported by RSPP, also via lobbing </w:t>
      </w:r>
      <w:r w:rsidRPr="00581E52">
        <w:rPr>
          <w:rFonts w:ascii="Times New Roman" w:hAnsi="Times New Roman"/>
          <w:sz w:val="28"/>
          <w:szCs w:val="28"/>
          <w:lang w:val="en-US"/>
        </w:rPr>
        <w:sym w:font="Wingdings" w:char="F04A"/>
      </w:r>
      <w:r>
        <w:rPr>
          <w:rFonts w:ascii="Times New Roman" w:hAnsi="Times New Roman"/>
          <w:sz w:val="28"/>
          <w:szCs w:val="28"/>
          <w:lang w:val="en-US"/>
        </w:rPr>
        <w:t xml:space="preserve"> to get an</w:t>
      </w:r>
      <w:r w:rsidRPr="00581E52">
        <w:rPr>
          <w:rFonts w:ascii="Times New Roman" w:hAnsi="Times New Roman"/>
          <w:sz w:val="28"/>
          <w:szCs w:val="28"/>
          <w:lang w:val="en-US"/>
        </w:rPr>
        <w:t xml:space="preserve"> observer status to U</w:t>
      </w:r>
      <w:r>
        <w:rPr>
          <w:rFonts w:ascii="Times New Roman" w:hAnsi="Times New Roman"/>
          <w:sz w:val="28"/>
          <w:szCs w:val="28"/>
          <w:lang w:val="en-US"/>
        </w:rPr>
        <w:t xml:space="preserve">nited </w:t>
      </w:r>
      <w:r w:rsidRPr="00581E52">
        <w:rPr>
          <w:rFonts w:ascii="Times New Roman" w:hAnsi="Times New Roman"/>
          <w:sz w:val="28"/>
          <w:szCs w:val="28"/>
          <w:lang w:val="en-US"/>
        </w:rPr>
        <w:t>N</w:t>
      </w:r>
      <w:r>
        <w:rPr>
          <w:rFonts w:ascii="Times New Roman" w:hAnsi="Times New Roman"/>
          <w:sz w:val="28"/>
          <w:szCs w:val="28"/>
          <w:lang w:val="en-US"/>
        </w:rPr>
        <w:t xml:space="preserve">ation </w:t>
      </w:r>
      <w:r w:rsidRPr="00581E52">
        <w:rPr>
          <w:rFonts w:ascii="Times New Roman" w:hAnsi="Times New Roman"/>
          <w:sz w:val="28"/>
          <w:szCs w:val="28"/>
          <w:lang w:val="en-US"/>
        </w:rPr>
        <w:t>G</w:t>
      </w:r>
      <w:r>
        <w:rPr>
          <w:rFonts w:ascii="Times New Roman" w:hAnsi="Times New Roman"/>
          <w:sz w:val="28"/>
          <w:szCs w:val="28"/>
          <w:lang w:val="en-US"/>
        </w:rPr>
        <w:t xml:space="preserve">eneral </w:t>
      </w:r>
      <w:r w:rsidRPr="00581E52">
        <w:rPr>
          <w:rFonts w:ascii="Times New Roman" w:hAnsi="Times New Roman"/>
          <w:sz w:val="28"/>
          <w:szCs w:val="28"/>
          <w:lang w:val="en-US"/>
        </w:rPr>
        <w:t>A</w:t>
      </w:r>
      <w:r>
        <w:rPr>
          <w:rFonts w:ascii="Times New Roman" w:hAnsi="Times New Roman"/>
          <w:sz w:val="28"/>
          <w:szCs w:val="28"/>
          <w:lang w:val="en-US"/>
        </w:rPr>
        <w:t xml:space="preserve">ssembly. </w:t>
      </w:r>
    </w:p>
    <w:sectPr w:rsidR="00581E52" w:rsidRPr="002110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46B4"/>
    <w:multiLevelType w:val="hybridMultilevel"/>
    <w:tmpl w:val="D3A26A1A"/>
    <w:lvl w:ilvl="0" w:tplc="2A460B4C">
      <w:start w:val="1"/>
      <w:numFmt w:val="decimal"/>
      <w:lvlText w:val="%1."/>
      <w:lvlJc w:val="left"/>
      <w:pPr>
        <w:ind w:left="898" w:hanging="360"/>
      </w:pPr>
      <w:rPr>
        <w:rFonts w:ascii="Calibri" w:hAnsi="Calibri" w:cs="Times New Roman" w:hint="default"/>
        <w:sz w:val="22"/>
      </w:rPr>
    </w:lvl>
    <w:lvl w:ilvl="1" w:tplc="04190019">
      <w:start w:val="1"/>
      <w:numFmt w:val="lowerLetter"/>
      <w:lvlText w:val="%2."/>
      <w:lvlJc w:val="left"/>
      <w:pPr>
        <w:ind w:left="1618" w:hanging="360"/>
      </w:pPr>
    </w:lvl>
    <w:lvl w:ilvl="2" w:tplc="0419001B">
      <w:start w:val="1"/>
      <w:numFmt w:val="lowerRoman"/>
      <w:lvlText w:val="%3."/>
      <w:lvlJc w:val="right"/>
      <w:pPr>
        <w:ind w:left="2338" w:hanging="180"/>
      </w:pPr>
    </w:lvl>
    <w:lvl w:ilvl="3" w:tplc="0419000F">
      <w:start w:val="1"/>
      <w:numFmt w:val="decimal"/>
      <w:lvlText w:val="%4."/>
      <w:lvlJc w:val="left"/>
      <w:pPr>
        <w:ind w:left="3058" w:hanging="360"/>
      </w:pPr>
    </w:lvl>
    <w:lvl w:ilvl="4" w:tplc="04190019">
      <w:start w:val="1"/>
      <w:numFmt w:val="lowerLetter"/>
      <w:lvlText w:val="%5."/>
      <w:lvlJc w:val="left"/>
      <w:pPr>
        <w:ind w:left="3778" w:hanging="360"/>
      </w:pPr>
    </w:lvl>
    <w:lvl w:ilvl="5" w:tplc="0419001B">
      <w:start w:val="1"/>
      <w:numFmt w:val="lowerRoman"/>
      <w:lvlText w:val="%6."/>
      <w:lvlJc w:val="right"/>
      <w:pPr>
        <w:ind w:left="4498" w:hanging="180"/>
      </w:pPr>
    </w:lvl>
    <w:lvl w:ilvl="6" w:tplc="0419000F">
      <w:start w:val="1"/>
      <w:numFmt w:val="decimal"/>
      <w:lvlText w:val="%7."/>
      <w:lvlJc w:val="left"/>
      <w:pPr>
        <w:ind w:left="5218" w:hanging="360"/>
      </w:pPr>
    </w:lvl>
    <w:lvl w:ilvl="7" w:tplc="04190019">
      <w:start w:val="1"/>
      <w:numFmt w:val="lowerLetter"/>
      <w:lvlText w:val="%8."/>
      <w:lvlJc w:val="left"/>
      <w:pPr>
        <w:ind w:left="5938" w:hanging="360"/>
      </w:pPr>
    </w:lvl>
    <w:lvl w:ilvl="8" w:tplc="0419001B">
      <w:start w:val="1"/>
      <w:numFmt w:val="lowerRoman"/>
      <w:lvlText w:val="%9."/>
      <w:lvlJc w:val="right"/>
      <w:pPr>
        <w:ind w:left="6658" w:hanging="180"/>
      </w:pPr>
    </w:lvl>
  </w:abstractNum>
  <w:abstractNum w:abstractNumId="1">
    <w:nsid w:val="1E862D0D"/>
    <w:multiLevelType w:val="hybridMultilevel"/>
    <w:tmpl w:val="FAF41BEA"/>
    <w:lvl w:ilvl="0" w:tplc="C37029E0">
      <w:start w:val="1"/>
      <w:numFmt w:val="upp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64568C9"/>
    <w:multiLevelType w:val="hybridMultilevel"/>
    <w:tmpl w:val="869EE52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26F53C3D"/>
    <w:multiLevelType w:val="hybridMultilevel"/>
    <w:tmpl w:val="7890985C"/>
    <w:lvl w:ilvl="0" w:tplc="C1068EA2">
      <w:start w:val="1"/>
      <w:numFmt w:val="decimal"/>
      <w:lvlText w:val="%1."/>
      <w:lvlJc w:val="left"/>
      <w:pPr>
        <w:ind w:left="898" w:hanging="360"/>
      </w:pPr>
    </w:lvl>
    <w:lvl w:ilvl="1" w:tplc="04190019">
      <w:start w:val="1"/>
      <w:numFmt w:val="lowerLetter"/>
      <w:lvlText w:val="%2."/>
      <w:lvlJc w:val="left"/>
      <w:pPr>
        <w:ind w:left="1618" w:hanging="360"/>
      </w:pPr>
    </w:lvl>
    <w:lvl w:ilvl="2" w:tplc="0419001B">
      <w:start w:val="1"/>
      <w:numFmt w:val="lowerRoman"/>
      <w:lvlText w:val="%3."/>
      <w:lvlJc w:val="right"/>
      <w:pPr>
        <w:ind w:left="2338" w:hanging="180"/>
      </w:pPr>
    </w:lvl>
    <w:lvl w:ilvl="3" w:tplc="0419000F">
      <w:start w:val="1"/>
      <w:numFmt w:val="decimal"/>
      <w:lvlText w:val="%4."/>
      <w:lvlJc w:val="left"/>
      <w:pPr>
        <w:ind w:left="3058" w:hanging="360"/>
      </w:pPr>
    </w:lvl>
    <w:lvl w:ilvl="4" w:tplc="04190019">
      <w:start w:val="1"/>
      <w:numFmt w:val="lowerLetter"/>
      <w:lvlText w:val="%5."/>
      <w:lvlJc w:val="left"/>
      <w:pPr>
        <w:ind w:left="3778" w:hanging="360"/>
      </w:pPr>
    </w:lvl>
    <w:lvl w:ilvl="5" w:tplc="0419001B">
      <w:start w:val="1"/>
      <w:numFmt w:val="lowerRoman"/>
      <w:lvlText w:val="%6."/>
      <w:lvlJc w:val="right"/>
      <w:pPr>
        <w:ind w:left="4498" w:hanging="180"/>
      </w:pPr>
    </w:lvl>
    <w:lvl w:ilvl="6" w:tplc="0419000F">
      <w:start w:val="1"/>
      <w:numFmt w:val="decimal"/>
      <w:lvlText w:val="%7."/>
      <w:lvlJc w:val="left"/>
      <w:pPr>
        <w:ind w:left="5218" w:hanging="360"/>
      </w:pPr>
    </w:lvl>
    <w:lvl w:ilvl="7" w:tplc="04190019">
      <w:start w:val="1"/>
      <w:numFmt w:val="lowerLetter"/>
      <w:lvlText w:val="%8."/>
      <w:lvlJc w:val="left"/>
      <w:pPr>
        <w:ind w:left="5938" w:hanging="360"/>
      </w:pPr>
    </w:lvl>
    <w:lvl w:ilvl="8" w:tplc="0419001B">
      <w:start w:val="1"/>
      <w:numFmt w:val="lowerRoman"/>
      <w:lvlText w:val="%9."/>
      <w:lvlJc w:val="right"/>
      <w:pPr>
        <w:ind w:left="665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0B3"/>
    <w:rsid w:val="002110B3"/>
    <w:rsid w:val="004116DD"/>
    <w:rsid w:val="00441911"/>
    <w:rsid w:val="00581E52"/>
    <w:rsid w:val="00A34AE0"/>
    <w:rsid w:val="00F648AB"/>
    <w:rsid w:val="00F85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0B3"/>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0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0B3"/>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26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877</Words>
  <Characters>5000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Хофманн Наталья Ивановна</dc:creator>
  <cp:lastModifiedBy>Хофманн Наталья Ивановна</cp:lastModifiedBy>
  <cp:revision>1</cp:revision>
  <dcterms:created xsi:type="dcterms:W3CDTF">2019-09-03T07:49:00Z</dcterms:created>
  <dcterms:modified xsi:type="dcterms:W3CDTF">2019-09-03T08:50:00Z</dcterms:modified>
</cp:coreProperties>
</file>