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8A" w:rsidRPr="007A778A" w:rsidRDefault="007A778A" w:rsidP="00D3322C">
      <w:pPr>
        <w:spacing w:line="240" w:lineRule="auto"/>
        <w:ind w:firstLine="0"/>
        <w:jc w:val="right"/>
      </w:pPr>
      <w:r w:rsidRPr="007A778A">
        <w:t>6 декабря 2011г.</w:t>
      </w:r>
    </w:p>
    <w:p w:rsidR="007A778A" w:rsidRDefault="007A778A" w:rsidP="00D3322C">
      <w:pPr>
        <w:spacing w:line="240" w:lineRule="auto"/>
        <w:ind w:firstLine="0"/>
        <w:jc w:val="center"/>
        <w:rPr>
          <w:b/>
        </w:rPr>
      </w:pPr>
    </w:p>
    <w:p w:rsidR="007A778A" w:rsidRPr="007A778A" w:rsidRDefault="00ED0B67" w:rsidP="00D3322C">
      <w:pPr>
        <w:spacing w:line="240" w:lineRule="auto"/>
        <w:ind w:firstLine="0"/>
        <w:jc w:val="center"/>
        <w:rPr>
          <w:b/>
        </w:rPr>
      </w:pPr>
      <w:r w:rsidRPr="007A778A">
        <w:rPr>
          <w:b/>
        </w:rPr>
        <w:t xml:space="preserve">Замечания </w:t>
      </w:r>
      <w:r w:rsidR="007A778A" w:rsidRPr="007A778A">
        <w:rPr>
          <w:b/>
        </w:rPr>
        <w:t>Комитета РСПП</w:t>
      </w:r>
    </w:p>
    <w:p w:rsidR="007A778A" w:rsidRPr="007A778A" w:rsidRDefault="007A778A" w:rsidP="00D3322C">
      <w:pPr>
        <w:spacing w:line="240" w:lineRule="auto"/>
        <w:ind w:firstLine="0"/>
        <w:jc w:val="center"/>
        <w:rPr>
          <w:b/>
        </w:rPr>
      </w:pPr>
      <w:r w:rsidRPr="007A778A">
        <w:rPr>
          <w:b/>
        </w:rPr>
        <w:t>по собственности и развитию конкуренции</w:t>
      </w:r>
    </w:p>
    <w:p w:rsidR="00ED0B67" w:rsidRPr="006B1900" w:rsidRDefault="00ED0B67" w:rsidP="00D3322C">
      <w:pPr>
        <w:spacing w:line="240" w:lineRule="auto"/>
        <w:ind w:firstLine="0"/>
        <w:jc w:val="center"/>
        <w:rPr>
          <w:b/>
        </w:rPr>
      </w:pPr>
      <w:r w:rsidRPr="006B1900">
        <w:rPr>
          <w:b/>
        </w:rPr>
        <w:t>по проекту федерального закона «О федеральной контрактной системе</w:t>
      </w:r>
      <w:r w:rsidR="0021499F">
        <w:rPr>
          <w:b/>
        </w:rPr>
        <w:t xml:space="preserve"> в сфере закупок товаров, работ, услуг»</w:t>
      </w:r>
    </w:p>
    <w:p w:rsidR="00ED0B67" w:rsidRDefault="00ED0B67" w:rsidP="00D3322C">
      <w:pPr>
        <w:spacing w:line="240" w:lineRule="auto"/>
      </w:pP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 xml:space="preserve">Предлагаем уточнить понятие «закупки» (подпункт 2) пункта 1 статьи 3), поскольку в текущей редакции под определение не подпадает гарантийное обслуживание («Процедура закупки… завершается приемкой товаров (работ, услуг) в предусмотренном настоящим Федеральным законом порядке, а также оплатой указанных товаров (работ, услуг»). </w:t>
      </w:r>
      <w:proofErr w:type="gramStart"/>
      <w:r>
        <w:t xml:space="preserve">Аналогичное замечание относится к статье 33, где отсутствуют указания на возможность (и необходимость) предусмотреть в контракте сроки, условия и иные параметры гарантийного обслуживания (есть только ссылка, что в случае </w:t>
      </w:r>
      <w:r w:rsidRPr="00D125D2">
        <w:t>просрочки исполнения поставщиком обязательства</w:t>
      </w:r>
      <w:r>
        <w:t>,</w:t>
      </w:r>
      <w:r w:rsidRPr="00D125D2">
        <w:t xml:space="preserve"> в том числе гарантийного, </w:t>
      </w:r>
      <w:r>
        <w:t xml:space="preserve">он </w:t>
      </w:r>
      <w:r w:rsidRPr="00D125D2">
        <w:t>выплачивает заказчику неустойку (штраф, пени)</w:t>
      </w:r>
      <w:r>
        <w:t>), статье 86, где вопросы гарантий и гарантийного обслуживания не рассматриваются в рамках вопроса исполнения контракта.</w:t>
      </w:r>
      <w:proofErr w:type="gramEnd"/>
      <w:r>
        <w:t xml:space="preserve"> Фактически вопросы гарантии упоминаются только в статьях 31 как один из к</w:t>
      </w:r>
      <w:r w:rsidRPr="00FD5F54">
        <w:t>ритери</w:t>
      </w:r>
      <w:r>
        <w:t>ев</w:t>
      </w:r>
      <w:r w:rsidRPr="00FD5F54">
        <w:t xml:space="preserve"> оценки заявок (предложений) участников процедур закупок</w:t>
      </w:r>
      <w:r>
        <w:t xml:space="preserve"> и 88 в части обеспечения исполнения контракта. Вместе с тем, для значительной части </w:t>
      </w:r>
      <w:proofErr w:type="spellStart"/>
      <w:r>
        <w:t>госзакупок</w:t>
      </w:r>
      <w:proofErr w:type="spellEnd"/>
      <w:r>
        <w:t xml:space="preserve"> вопрос гарантийного обслуживания </w:t>
      </w:r>
      <w:proofErr w:type="gramStart"/>
      <w:r>
        <w:t>является критически важным и должен</w:t>
      </w:r>
      <w:proofErr w:type="gramEnd"/>
      <w:r>
        <w:t xml:space="preserve"> быть максимально четко урегулирован.</w:t>
      </w:r>
    </w:p>
    <w:p w:rsidR="00ED0B67" w:rsidRDefault="00ED0B67" w:rsidP="00D3322C">
      <w:pPr>
        <w:spacing w:line="240" w:lineRule="auto"/>
        <w:ind w:firstLine="708"/>
      </w:pPr>
      <w:r>
        <w:t>Кроме того, формулировка «</w:t>
      </w:r>
      <w:proofErr w:type="gramStart"/>
      <w:r>
        <w:t>направленных</w:t>
      </w:r>
      <w:proofErr w:type="gramEnd"/>
      <w:r>
        <w:t xml:space="preserve"> на заключение и исполнение государственных или муниципальных контрактов» создает правовую неопределенность в отношении контрактов бюджетных учреждений, заключаемых в соответствии с данным законопроектом и не относящихся </w:t>
      </w:r>
      <w:proofErr w:type="gramStart"/>
      <w:r>
        <w:t>к</w:t>
      </w:r>
      <w:proofErr w:type="gramEnd"/>
      <w:r>
        <w:t xml:space="preserve"> государственным или муниципальным.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 xml:space="preserve">Учитывая, что статья 4 </w:t>
      </w:r>
      <w:proofErr w:type="gramStart"/>
      <w:r>
        <w:t>предусматривает равные права для общественных объединений по контролю и иных общественных объединений представляется</w:t>
      </w:r>
      <w:proofErr w:type="gramEnd"/>
      <w:r>
        <w:t xml:space="preserve"> излишним выделение самостоятельной категории «общественных объединений по контролю».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>В статье 5 пункте 1 сказано, что единая информационная система содержит информацию о результатах аудита и контроля. Необходимо уточнить о каком аудите и контроле идет речь.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 xml:space="preserve">В статье 14 необходимо дать более четкую редакцию пункта 2 для однозначного определения деятельности, на которую не распространяются требования законопроекта (существует возможность неоднозначного толкования термина «контракт»). 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 xml:space="preserve">Недостаточно четкими являются формулировки в пункте 2 статьи 19 в части определения товаров, работ, услуг с избыточными потребительскими свойствами или иными характеристиками, либо являющихся предметами роскоши, работ (услуг) высшей ценовой категории или относящихся к категории люкс. 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lastRenderedPageBreak/>
        <w:t>Не обоснована целесообразность введения нового понятия – «нормирование в федеральной контрактной системе» (статья 19), поскольку его суть раскрывается в статье 32 без использования этого понятия.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>Недостаточно прозрачной является возможность выбора методов определения начальной (максимальной) цены контракта, в частности, не определено, в каких случаях должен использоваться запросный метод дополнительно к методу индексации, а в каких случаях можно ограничиться только последним методом.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>В статье 31 целесообразно уточнить термин «производные произведения».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>В статье 33 наблюдается несимметричность формулировок в части освобождения от уплаты неустойки (штрафа, пеней). Для поставщика используется формулировка «… если докажет, что просрочка исполнения указанного обязательства произошла … по вине заказчика», а для заказчика «… по вине другой стороны». Предлагаем в пункте 4 указанной статьи заменить слова «… по вине другой стороны» на «… по вине поставщика (подрядчика, исполнителя)».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proofErr w:type="gramStart"/>
      <w:r>
        <w:t>Предложенный принцип отклонения заявок с демпинговой ценой (статья 35) является разумной мерой, в то же время целесообразно прямо упомянуть о случаях, когда участник конкурса является компанией, использующей упрощенный режим налогообложения, а, значит, не является плательщиком НДС, поскольку это обосновывает большую часть предлагаемого в качестве контрольного размера «ниже 25 % начальной (максимальной) цены контракта».</w:t>
      </w:r>
      <w:proofErr w:type="gramEnd"/>
      <w:r>
        <w:t xml:space="preserve"> Это особенно существенно при существующей жесткой формулировке «</w:t>
      </w:r>
      <w:r w:rsidRPr="005933CA">
        <w:t>При проведении процедур закупок в целях заключения контрактов на выполнение научно-исследовательских, опытно-конструкторских или технологических работ комиссия отклоняет заявки, содержащие предложение о цене контракта на 25 или более процентов ниже начальной (максимальной) цены контракта, независимо от наличия в них обоснования цены</w:t>
      </w:r>
      <w:proofErr w:type="gramStart"/>
      <w:r w:rsidRPr="005933CA">
        <w:t>.</w:t>
      </w:r>
      <w:r>
        <w:t>»</w:t>
      </w:r>
      <w:proofErr w:type="gramEnd"/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>В статье 37 пункте 4 сказано, что «Заказчик включает в состав комиссии преимущественно лиц, прошедших профессиональную переподготовку или повышение квалификации в сфере закупок…». Необходимо либо определить минимальную долю таких лиц в составе комиссии (более трети, 50 %, две трети членов комиссии и т.д.) либо отказаться от данного положения из-за его нечеткости.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 xml:space="preserve">В статье 43 пункте 2 сохраняется обязанность участника конкурса подавать в составе заявки выписку из единого государственного реестра юридических лиц или ее нотариально заверенную копию, а для индивидуальных предпринимателей – выписку из единого государственного реестра индивидуальных предпринимателей или их нотариально заверенные копии. Предлагаем рассмотреть возможность распространения на государственные закупки принципа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 </w:t>
      </w:r>
      <w:r w:rsidRPr="00F16CEE">
        <w:t>210-ФЗ "Об организации предоставления государственных и муниципальн</w:t>
      </w:r>
      <w:r>
        <w:t xml:space="preserve">ых услуг": </w:t>
      </w:r>
      <w:proofErr w:type="gramStart"/>
      <w:r>
        <w:t xml:space="preserve">«Органы, предоставляющие государственные услуги, и органы, </w:t>
      </w:r>
      <w:r>
        <w:lastRenderedPageBreak/>
        <w:t>предоставляющие муниципальные услуги, не вправе требовать от заявителя: …2)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  <w:proofErr w:type="gramEnd"/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proofErr w:type="gramStart"/>
      <w:r>
        <w:t>Особую озабоченность вызывает большое количество отсылочных норм, в соответствии с которыми Правительство Российской Федерации и уполномоченный федеральный орган исполнительной власти должны утвердить перечень подзаконных актов (Правительство Российской Федерации должно утвердить перечень международных финансовых организаций, на заключение договоров оказания услуг которыми не распространяется данный законопроект; положение о Совете по федеральной контрактной системе и порядок его деятельности;</w:t>
      </w:r>
      <w:proofErr w:type="gramEnd"/>
      <w:r>
        <w:t xml:space="preserve"> порядок функционирования единой информационной системы, технологические и лингвистические требования к ней; уполномоченные органы исполнительной власти по реализации функций, связанных с федеральной контрактной системой; формы планов закупок, работ, услуг для обеспечения государственных и муниципальных нужд и т.д.). </w:t>
      </w:r>
    </w:p>
    <w:p w:rsidR="00ED0B67" w:rsidRDefault="00ED0B67" w:rsidP="00D3322C">
      <w:pPr>
        <w:pStyle w:val="a4"/>
        <w:numPr>
          <w:ilvl w:val="0"/>
          <w:numId w:val="2"/>
        </w:numPr>
        <w:spacing w:line="240" w:lineRule="auto"/>
        <w:ind w:left="0" w:firstLine="709"/>
      </w:pPr>
      <w:r>
        <w:t xml:space="preserve">Не удалось в полной мере решить проблемы невозможности четкого прогнозирования необходимых закупок при проведении исследований и разработок. </w:t>
      </w:r>
      <w:proofErr w:type="gramStart"/>
      <w:r>
        <w:t>Т</w:t>
      </w:r>
      <w:r w:rsidRPr="005933CA">
        <w:t xml:space="preserve">ребования </w:t>
      </w:r>
      <w:r>
        <w:t xml:space="preserve">проекта </w:t>
      </w:r>
      <w:r w:rsidRPr="005933CA">
        <w:t>закона не распространяются на деятельность бюджетных учреждений по выполнению научно-исследовательских, опытно-конструкторских или технологических работ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грантов (субсидий на конкурсной основе</w:t>
      </w:r>
      <w:proofErr w:type="gramEnd"/>
      <w:r w:rsidRPr="005933CA">
        <w:t xml:space="preserve">), </w:t>
      </w:r>
      <w:proofErr w:type="gramStart"/>
      <w:r w:rsidRPr="005933CA">
        <w:t>предоставляемых из соответствующих бюджетов бюджетной системы Российской Федерации.</w:t>
      </w:r>
      <w:proofErr w:type="gramEnd"/>
      <w:r>
        <w:t xml:space="preserve"> Данное предложение лишь частично решает возникающую проблему в условиях, когда </w:t>
      </w:r>
      <w:proofErr w:type="spellStart"/>
      <w:r>
        <w:t>грантовая</w:t>
      </w:r>
      <w:proofErr w:type="spellEnd"/>
      <w:r>
        <w:t xml:space="preserve"> форма финансирования исследований не является основной по независящим от исследователей причинам.</w:t>
      </w:r>
    </w:p>
    <w:p w:rsidR="00ED0B67" w:rsidRPr="00A828C3" w:rsidRDefault="00ED0B67" w:rsidP="00D3322C">
      <w:pPr>
        <w:spacing w:line="240" w:lineRule="auto"/>
        <w:ind w:firstLine="907"/>
      </w:pPr>
      <w:r w:rsidRPr="00A828C3">
        <w:t>1</w:t>
      </w:r>
      <w:r w:rsidR="007A778A">
        <w:t>5</w:t>
      </w:r>
      <w:r w:rsidRPr="00A828C3">
        <w:t xml:space="preserve">. </w:t>
      </w:r>
      <w:r w:rsidRPr="00DA4AE0">
        <w:t>Текст законопроекта в целом необходимо привести в соответствие с Гражданским кодексом Р</w:t>
      </w:r>
      <w:r w:rsidRPr="00A828C3">
        <w:t xml:space="preserve">Ф, </w:t>
      </w:r>
      <w:r w:rsidR="00D3322C">
        <w:t>например</w:t>
      </w:r>
      <w:r w:rsidRPr="00A828C3">
        <w:t xml:space="preserve"> по вопросам заключения, исполнения, расторжения и оспаривания государственных контрактов</w:t>
      </w:r>
      <w:r>
        <w:t>, устрани</w:t>
      </w:r>
      <w:r w:rsidR="00D3322C">
        <w:t>в</w:t>
      </w:r>
      <w:r>
        <w:t xml:space="preserve"> возможные расхождения и пробелы</w:t>
      </w:r>
      <w:r w:rsidRPr="00A828C3">
        <w:t>.</w:t>
      </w:r>
    </w:p>
    <w:p w:rsidR="00ED0B67" w:rsidRDefault="00ED0B67" w:rsidP="00D3322C">
      <w:pPr>
        <w:spacing w:line="240" w:lineRule="auto"/>
        <w:ind w:firstLine="907"/>
        <w:rPr>
          <w:lang w:eastAsia="ru-RU"/>
        </w:rPr>
      </w:pPr>
      <w:r>
        <w:t>Это касается, в частности,</w:t>
      </w:r>
      <w:r w:rsidRPr="00A828C3">
        <w:t xml:space="preserve"> судебного обжалования результатов размещения государственного заказа в случае нарушений, допущенных в процессе его размещения. Статья 449 ГК РФ устанавливает общее правило, </w:t>
      </w:r>
      <w:r>
        <w:t>согласно которому</w:t>
      </w:r>
      <w:r w:rsidRPr="00A828C3">
        <w:t xml:space="preserve"> т</w:t>
      </w:r>
      <w:r w:rsidRPr="00A828C3">
        <w:rPr>
          <w:lang w:eastAsia="ru-RU"/>
        </w:rPr>
        <w:t xml:space="preserve">орги, проведенные с нарушением правил, установленных законом, могут быть признаны судом недействительными по иску заинтересованного лица. Признание торгов </w:t>
      </w:r>
      <w:proofErr w:type="gramStart"/>
      <w:r w:rsidRPr="00A828C3">
        <w:rPr>
          <w:lang w:eastAsia="ru-RU"/>
        </w:rPr>
        <w:t>недействительными</w:t>
      </w:r>
      <w:proofErr w:type="gramEnd"/>
      <w:r w:rsidRPr="00A828C3">
        <w:rPr>
          <w:lang w:eastAsia="ru-RU"/>
        </w:rPr>
        <w:t xml:space="preserve"> влечет </w:t>
      </w:r>
      <w:r w:rsidRPr="00A828C3">
        <w:rPr>
          <w:lang w:eastAsia="ru-RU"/>
        </w:rPr>
        <w:lastRenderedPageBreak/>
        <w:t xml:space="preserve">недействительность договора, заключенного с лицом, выигравшим торги. </w:t>
      </w:r>
      <w:r>
        <w:rPr>
          <w:lang w:eastAsia="ru-RU"/>
        </w:rPr>
        <w:t>З</w:t>
      </w:r>
      <w:r w:rsidRPr="00A828C3">
        <w:rPr>
          <w:lang w:eastAsia="ru-RU"/>
        </w:rPr>
        <w:t>аконопроект о ФКС также допускает судебное обжалование результатов размещения заказа</w:t>
      </w:r>
      <w:r>
        <w:rPr>
          <w:lang w:eastAsia="ru-RU"/>
        </w:rPr>
        <w:t xml:space="preserve">, </w:t>
      </w:r>
      <w:r w:rsidR="007A778A">
        <w:rPr>
          <w:lang w:eastAsia="ru-RU"/>
        </w:rPr>
        <w:t>но</w:t>
      </w:r>
      <w:r>
        <w:rPr>
          <w:lang w:eastAsia="ru-RU"/>
        </w:rPr>
        <w:t xml:space="preserve"> помимо торгов</w:t>
      </w:r>
      <w:r w:rsidRPr="00A828C3">
        <w:rPr>
          <w:lang w:eastAsia="ru-RU"/>
        </w:rPr>
        <w:t xml:space="preserve"> предусм</w:t>
      </w:r>
      <w:r>
        <w:rPr>
          <w:lang w:eastAsia="ru-RU"/>
        </w:rPr>
        <w:t>а</w:t>
      </w:r>
      <w:r w:rsidRPr="00A828C3">
        <w:rPr>
          <w:lang w:eastAsia="ru-RU"/>
        </w:rPr>
        <w:t>тр</w:t>
      </w:r>
      <w:r>
        <w:rPr>
          <w:lang w:eastAsia="ru-RU"/>
        </w:rPr>
        <w:t xml:space="preserve">ивает и </w:t>
      </w:r>
      <w:r w:rsidRPr="00A828C3">
        <w:rPr>
          <w:lang w:eastAsia="ru-RU"/>
        </w:rPr>
        <w:t xml:space="preserve"> альтернативные способы, например, запрос предложений, запрос котировок, закупку из единого источника. Обжалование государственного контракта, размещенного способом, не связанным с проведением конкурса или аукциона (т.е. торгов), не регулируется статьей 449 ГК о недействительности торгов. Следовательно, порядок и условия обжалования (признания недействительным размещения контракта), необходимо установить в Законопроекте.</w:t>
      </w:r>
    </w:p>
    <w:p w:rsidR="00ED0B67" w:rsidRPr="00A828C3" w:rsidRDefault="00D3322C" w:rsidP="00D3322C">
      <w:pPr>
        <w:spacing w:line="240" w:lineRule="auto"/>
        <w:ind w:firstLine="907"/>
        <w:rPr>
          <w:lang w:eastAsia="ru-RU"/>
        </w:rPr>
      </w:pPr>
      <w:r>
        <w:rPr>
          <w:lang w:eastAsia="ru-RU"/>
        </w:rPr>
        <w:t xml:space="preserve">16. </w:t>
      </w:r>
      <w:r w:rsidR="00ED0B67" w:rsidRPr="00A828C3">
        <w:rPr>
          <w:lang w:eastAsia="ru-RU"/>
        </w:rPr>
        <w:t xml:space="preserve">Статья 88 Законопроекта «Обеспечение исполнения контракта» предусматривает, что в обеспечение принимаются банковские гарантии, выданные банками и иными кредитными организациями. Предлагаем </w:t>
      </w:r>
      <w:r w:rsidR="00ED0B67">
        <w:rPr>
          <w:lang w:eastAsia="ru-RU"/>
        </w:rPr>
        <w:t xml:space="preserve">в Законопроекте </w:t>
      </w:r>
      <w:r w:rsidR="00ED0B67" w:rsidRPr="00A828C3">
        <w:rPr>
          <w:lang w:eastAsia="ru-RU"/>
        </w:rPr>
        <w:t xml:space="preserve">оставить только термин «банковская гарантия», </w:t>
      </w:r>
      <w:r w:rsidR="00ED0B67">
        <w:rPr>
          <w:lang w:eastAsia="ru-RU"/>
        </w:rPr>
        <w:t xml:space="preserve">поскольку </w:t>
      </w:r>
      <w:r w:rsidR="00ED0B67" w:rsidRPr="00A828C3">
        <w:rPr>
          <w:lang w:eastAsia="ru-RU"/>
        </w:rPr>
        <w:t xml:space="preserve"> круг эмитентов </w:t>
      </w:r>
      <w:r w:rsidR="00ED0B67">
        <w:rPr>
          <w:lang w:eastAsia="ru-RU"/>
        </w:rPr>
        <w:t>в с</w:t>
      </w:r>
      <w:r w:rsidR="00ED0B67" w:rsidRPr="00A828C3">
        <w:rPr>
          <w:lang w:eastAsia="ru-RU"/>
        </w:rPr>
        <w:t>оответствии с ГК</w:t>
      </w:r>
      <w:r w:rsidR="00ED0B67">
        <w:rPr>
          <w:lang w:eastAsia="ru-RU"/>
        </w:rPr>
        <w:t xml:space="preserve"> РФ</w:t>
      </w:r>
      <w:r w:rsidR="00ED0B67" w:rsidRPr="00A828C3">
        <w:rPr>
          <w:lang w:eastAsia="ru-RU"/>
        </w:rPr>
        <w:t xml:space="preserve"> шире и включает, в частности</w:t>
      </w:r>
      <w:r w:rsidR="00ED0B67">
        <w:rPr>
          <w:lang w:eastAsia="ru-RU"/>
        </w:rPr>
        <w:t>,</w:t>
      </w:r>
      <w:r w:rsidR="00ED0B67" w:rsidRPr="00A828C3">
        <w:rPr>
          <w:lang w:eastAsia="ru-RU"/>
        </w:rPr>
        <w:t xml:space="preserve"> также страховые организации (статья 368 ГК РФ).</w:t>
      </w:r>
    </w:p>
    <w:p w:rsidR="00ED0B67" w:rsidRPr="00A828C3" w:rsidRDefault="007A778A" w:rsidP="00D3322C">
      <w:pPr>
        <w:spacing w:line="240" w:lineRule="auto"/>
        <w:ind w:firstLine="907"/>
        <w:rPr>
          <w:lang w:eastAsia="ru-RU"/>
        </w:rPr>
      </w:pPr>
      <w:r>
        <w:rPr>
          <w:lang w:eastAsia="ru-RU"/>
        </w:rPr>
        <w:t>1</w:t>
      </w:r>
      <w:r w:rsidR="00D3322C">
        <w:rPr>
          <w:lang w:eastAsia="ru-RU"/>
        </w:rPr>
        <w:t>7</w:t>
      </w:r>
      <w:r w:rsidR="00ED0B67" w:rsidRPr="00A828C3">
        <w:rPr>
          <w:lang w:eastAsia="ru-RU"/>
        </w:rPr>
        <w:t xml:space="preserve">. </w:t>
      </w:r>
      <w:r w:rsidR="00D3322C" w:rsidRPr="007A778A">
        <w:rPr>
          <w:lang w:eastAsia="ru-RU"/>
        </w:rPr>
        <w:t>Статья</w:t>
      </w:r>
      <w:r w:rsidR="00D3322C" w:rsidRPr="00A828C3">
        <w:rPr>
          <w:lang w:eastAsia="ru-RU"/>
        </w:rPr>
        <w:t xml:space="preserve"> 87 </w:t>
      </w:r>
      <w:r w:rsidR="00ED0B67">
        <w:rPr>
          <w:lang w:eastAsia="ru-RU"/>
        </w:rPr>
        <w:t>Законопроект</w:t>
      </w:r>
      <w:r w:rsidR="00D3322C">
        <w:rPr>
          <w:lang w:eastAsia="ru-RU"/>
        </w:rPr>
        <w:t>а</w:t>
      </w:r>
      <w:r w:rsidR="00ED0B67">
        <w:rPr>
          <w:lang w:eastAsia="ru-RU"/>
        </w:rPr>
        <w:t xml:space="preserve"> </w:t>
      </w:r>
      <w:r w:rsidR="00D3322C" w:rsidRPr="00A828C3">
        <w:rPr>
          <w:lang w:eastAsia="ru-RU"/>
        </w:rPr>
        <w:t>«Изменение и расторжение контракта»</w:t>
      </w:r>
      <w:r w:rsidR="00D3322C">
        <w:rPr>
          <w:lang w:eastAsia="ru-RU"/>
        </w:rPr>
        <w:t xml:space="preserve"> </w:t>
      </w:r>
      <w:r w:rsidR="00ED0B67" w:rsidRPr="007A778A">
        <w:rPr>
          <w:lang w:eastAsia="ru-RU"/>
        </w:rPr>
        <w:t xml:space="preserve">закрепляет неравное положение сторон при </w:t>
      </w:r>
      <w:proofErr w:type="gramStart"/>
      <w:r w:rsidR="00ED0B67" w:rsidRPr="007A778A">
        <w:rPr>
          <w:lang w:eastAsia="ru-RU"/>
        </w:rPr>
        <w:t>расторжении</w:t>
      </w:r>
      <w:proofErr w:type="gramEnd"/>
      <w:r w:rsidR="00ED0B67" w:rsidRPr="007A778A">
        <w:rPr>
          <w:lang w:eastAsia="ru-RU"/>
        </w:rPr>
        <w:t xml:space="preserve"> государственного контракта</w:t>
      </w:r>
      <w:r w:rsidR="00D3322C">
        <w:rPr>
          <w:lang w:eastAsia="ru-RU"/>
        </w:rPr>
        <w:t>,</w:t>
      </w:r>
      <w:r w:rsidR="00ED0B67" w:rsidRPr="00A828C3">
        <w:rPr>
          <w:lang w:eastAsia="ru-RU"/>
        </w:rPr>
        <w:t xml:space="preserve">  ограничива</w:t>
      </w:r>
      <w:r w:rsidR="00D3322C">
        <w:rPr>
          <w:lang w:eastAsia="ru-RU"/>
        </w:rPr>
        <w:t>я</w:t>
      </w:r>
      <w:r w:rsidR="00ED0B67" w:rsidRPr="00A828C3">
        <w:rPr>
          <w:lang w:eastAsia="ru-RU"/>
        </w:rPr>
        <w:t xml:space="preserve"> случаи расторжения договора поставщиком (исполнителем). </w:t>
      </w:r>
      <w:r w:rsidR="00ED0B67">
        <w:rPr>
          <w:lang w:eastAsia="ru-RU"/>
        </w:rPr>
        <w:t>Однако с</w:t>
      </w:r>
      <w:r w:rsidR="00ED0B67" w:rsidRPr="00A828C3">
        <w:rPr>
          <w:lang w:eastAsia="ru-RU"/>
        </w:rPr>
        <w:t>огласно Г</w:t>
      </w:r>
      <w:r w:rsidR="00D3322C">
        <w:rPr>
          <w:lang w:eastAsia="ru-RU"/>
        </w:rPr>
        <w:t>К РФ</w:t>
      </w:r>
      <w:r w:rsidR="00ED0B67">
        <w:rPr>
          <w:lang w:eastAsia="ru-RU"/>
        </w:rPr>
        <w:t>, помимо</w:t>
      </w:r>
      <w:r w:rsidR="00ED0B67" w:rsidRPr="00A828C3">
        <w:rPr>
          <w:lang w:eastAsia="ru-RU"/>
        </w:rPr>
        <w:t xml:space="preserve"> неоплаты со стороны заказчика</w:t>
      </w:r>
      <w:r w:rsidR="00ED0B67">
        <w:rPr>
          <w:lang w:eastAsia="ru-RU"/>
        </w:rPr>
        <w:t>,</w:t>
      </w:r>
      <w:r w:rsidR="00ED0B67" w:rsidRPr="00970FA6">
        <w:rPr>
          <w:lang w:eastAsia="ru-RU"/>
        </w:rPr>
        <w:t xml:space="preserve"> </w:t>
      </w:r>
      <w:r w:rsidR="00D3322C" w:rsidRPr="00A828C3">
        <w:rPr>
          <w:lang w:eastAsia="ru-RU"/>
        </w:rPr>
        <w:t xml:space="preserve">такими случаями </w:t>
      </w:r>
      <w:r w:rsidR="00ED0B67" w:rsidRPr="00A828C3">
        <w:rPr>
          <w:lang w:eastAsia="ru-RU"/>
        </w:rPr>
        <w:t xml:space="preserve">могут быть: отсутствие содействия Заказчика, необходимого для проведения работ (уклонение от передачи вещи и т.п.) для договора подряда, </w:t>
      </w:r>
      <w:r w:rsidR="00ED0B67">
        <w:rPr>
          <w:lang w:eastAsia="ru-RU"/>
        </w:rPr>
        <w:t xml:space="preserve">а также </w:t>
      </w:r>
      <w:r w:rsidR="00ED0B67" w:rsidRPr="00A828C3">
        <w:rPr>
          <w:lang w:eastAsia="ru-RU"/>
        </w:rPr>
        <w:t xml:space="preserve">уклонение от принятия товара для договора поставки и др. </w:t>
      </w:r>
    </w:p>
    <w:p w:rsidR="00ED0B67" w:rsidRPr="00A828C3" w:rsidRDefault="00ED0B67" w:rsidP="00D3322C">
      <w:pPr>
        <w:spacing w:line="240" w:lineRule="auto"/>
        <w:ind w:firstLine="907"/>
        <w:rPr>
          <w:lang w:eastAsia="ru-RU"/>
        </w:rPr>
      </w:pPr>
      <w:r>
        <w:rPr>
          <w:lang w:eastAsia="ru-RU"/>
        </w:rPr>
        <w:t>Целесообразно</w:t>
      </w:r>
      <w:r w:rsidRPr="00A828C3">
        <w:rPr>
          <w:lang w:eastAsia="ru-RU"/>
        </w:rPr>
        <w:t>, исходя их принципа равенства субъектов гражданского оборота, установить двусторонне действующую «зеркальную» норму в п. 8 ст. 87 о компенсации обеим сторонам убытков, причиненных в результате нарушения обязательств и расторжения договора</w:t>
      </w:r>
      <w:r>
        <w:rPr>
          <w:lang w:eastAsia="ru-RU"/>
        </w:rPr>
        <w:t xml:space="preserve"> по госзаказу</w:t>
      </w:r>
      <w:r w:rsidRPr="00A828C3">
        <w:rPr>
          <w:lang w:eastAsia="ru-RU"/>
        </w:rPr>
        <w:t xml:space="preserve">. </w:t>
      </w:r>
      <w:r>
        <w:rPr>
          <w:lang w:eastAsia="ru-RU"/>
        </w:rPr>
        <w:t xml:space="preserve">Подобные гарантии помогут </w:t>
      </w:r>
      <w:r w:rsidRPr="00A828C3">
        <w:rPr>
          <w:lang w:eastAsia="ru-RU"/>
        </w:rPr>
        <w:t>повысить конкуренцию на торгах.</w:t>
      </w:r>
    </w:p>
    <w:p w:rsidR="00ED0B67" w:rsidRPr="00D3322C" w:rsidRDefault="00D3322C" w:rsidP="00D3322C">
      <w:pPr>
        <w:spacing w:line="240" w:lineRule="auto"/>
        <w:ind w:firstLine="907"/>
        <w:rPr>
          <w:lang w:eastAsia="ru-RU"/>
        </w:rPr>
      </w:pPr>
      <w:r w:rsidRPr="00D3322C">
        <w:rPr>
          <w:lang w:eastAsia="ru-RU"/>
        </w:rPr>
        <w:t>1</w:t>
      </w:r>
      <w:r>
        <w:rPr>
          <w:lang w:eastAsia="ru-RU"/>
        </w:rPr>
        <w:t>8</w:t>
      </w:r>
      <w:r w:rsidR="00ED0B67" w:rsidRPr="00D3322C">
        <w:rPr>
          <w:lang w:eastAsia="ru-RU"/>
        </w:rPr>
        <w:t>. Требует доработки статья 94 Законопроекта, неоправданно расширяющая круг лиц, сведения о которых подлежат включению в реестр недобросовестных поставщиков при неисполнении контракта.</w:t>
      </w:r>
    </w:p>
    <w:p w:rsidR="00ED0B67" w:rsidRPr="00A828C3" w:rsidRDefault="00ED0B67" w:rsidP="00D3322C">
      <w:pPr>
        <w:spacing w:line="240" w:lineRule="auto"/>
        <w:ind w:firstLine="907"/>
        <w:rPr>
          <w:lang w:eastAsia="ru-RU"/>
        </w:rPr>
      </w:pPr>
      <w:r>
        <w:rPr>
          <w:lang w:eastAsia="ru-RU"/>
        </w:rPr>
        <w:t xml:space="preserve">Представляется </w:t>
      </w:r>
      <w:r w:rsidRPr="00A828C3">
        <w:rPr>
          <w:lang w:eastAsia="ru-RU"/>
        </w:rPr>
        <w:t>недопустим</w:t>
      </w:r>
      <w:r>
        <w:rPr>
          <w:lang w:eastAsia="ru-RU"/>
        </w:rPr>
        <w:t>ым</w:t>
      </w:r>
      <w:r w:rsidRPr="00A828C3">
        <w:rPr>
          <w:lang w:eastAsia="ru-RU"/>
        </w:rPr>
        <w:t xml:space="preserve"> включение в реестр недобросовестных поставщиков сведений об участниках/ акционерах, членах коллегиальных исполнительных органов и единоличном исполнительном органе.</w:t>
      </w:r>
      <w:r>
        <w:rPr>
          <w:lang w:eastAsia="ru-RU"/>
        </w:rPr>
        <w:t xml:space="preserve"> В</w:t>
      </w:r>
      <w:r w:rsidRPr="00A828C3">
        <w:rPr>
          <w:lang w:eastAsia="ru-RU"/>
        </w:rPr>
        <w:t xml:space="preserve">ключение в </w:t>
      </w:r>
      <w:r>
        <w:rPr>
          <w:lang w:eastAsia="ru-RU"/>
        </w:rPr>
        <w:t xml:space="preserve">указанный </w:t>
      </w:r>
      <w:r w:rsidRPr="00A828C3">
        <w:rPr>
          <w:lang w:eastAsia="ru-RU"/>
        </w:rPr>
        <w:t xml:space="preserve">реестр </w:t>
      </w:r>
      <w:proofErr w:type="spellStart"/>
      <w:r w:rsidRPr="00A828C3">
        <w:rPr>
          <w:lang w:eastAsia="ru-RU"/>
        </w:rPr>
        <w:t>миноритарного</w:t>
      </w:r>
      <w:proofErr w:type="spellEnd"/>
      <w:r w:rsidRPr="00A828C3">
        <w:rPr>
          <w:lang w:eastAsia="ru-RU"/>
        </w:rPr>
        <w:t xml:space="preserve"> акционера/ участника, который не нарушал закон, не мог повлиять на решение юридического лица и на поведение ее руководителей, приведет к тому, что будут отстранены от участия в </w:t>
      </w:r>
      <w:proofErr w:type="spellStart"/>
      <w:r w:rsidRPr="00A828C3">
        <w:rPr>
          <w:lang w:eastAsia="ru-RU"/>
        </w:rPr>
        <w:t>госзакупках</w:t>
      </w:r>
      <w:proofErr w:type="spellEnd"/>
      <w:r w:rsidRPr="00A828C3">
        <w:rPr>
          <w:lang w:eastAsia="ru-RU"/>
        </w:rPr>
        <w:t xml:space="preserve"> все другие компании, в которых участвует такой акционер.</w:t>
      </w:r>
    </w:p>
    <w:p w:rsidR="00ED0B67" w:rsidRPr="00A828C3" w:rsidRDefault="00ED0B67" w:rsidP="00D3322C">
      <w:pPr>
        <w:spacing w:line="240" w:lineRule="auto"/>
        <w:ind w:firstLine="907"/>
        <w:rPr>
          <w:lang w:eastAsia="ru-RU"/>
        </w:rPr>
      </w:pPr>
      <w:r w:rsidRPr="00A828C3">
        <w:rPr>
          <w:lang w:eastAsia="ru-RU"/>
        </w:rPr>
        <w:t xml:space="preserve">В отношении руководителей </w:t>
      </w:r>
      <w:r>
        <w:rPr>
          <w:lang w:eastAsia="ru-RU"/>
        </w:rPr>
        <w:t xml:space="preserve"> компании </w:t>
      </w:r>
      <w:r w:rsidRPr="00A828C3">
        <w:rPr>
          <w:lang w:eastAsia="ru-RU"/>
        </w:rPr>
        <w:t xml:space="preserve">такая мера </w:t>
      </w:r>
      <w:r>
        <w:rPr>
          <w:lang w:eastAsia="ru-RU"/>
        </w:rPr>
        <w:t>может быть</w:t>
      </w:r>
      <w:r w:rsidRPr="00A828C3">
        <w:rPr>
          <w:lang w:eastAsia="ru-RU"/>
        </w:rPr>
        <w:t xml:space="preserve"> оправдана при совершении ими умышленных действий, что должно устанавливаться компетентными органами/ судами и вести к дисквалификации данных руководителей в порядке, установленном административным и уголовным законодательством.</w:t>
      </w:r>
    </w:p>
    <w:p w:rsidR="00ED0B67" w:rsidRPr="00D3322C" w:rsidRDefault="00D3322C" w:rsidP="00D3322C">
      <w:pPr>
        <w:spacing w:line="240" w:lineRule="auto"/>
        <w:ind w:firstLine="907"/>
        <w:rPr>
          <w:lang w:eastAsia="ru-RU"/>
        </w:rPr>
      </w:pPr>
      <w:r w:rsidRPr="00D3322C">
        <w:rPr>
          <w:lang w:eastAsia="ru-RU"/>
        </w:rPr>
        <w:lastRenderedPageBreak/>
        <w:t>19</w:t>
      </w:r>
      <w:r w:rsidR="00ED0B67" w:rsidRPr="00D3322C">
        <w:rPr>
          <w:lang w:eastAsia="ru-RU"/>
        </w:rPr>
        <w:t xml:space="preserve">. Нуждаются в доработке положения об обосновании начальной (максимальной) цены контракта. В законопроекте предлагается следующая методология: </w:t>
      </w:r>
    </w:p>
    <w:p w:rsidR="00ED0B67" w:rsidRPr="00D3322C" w:rsidRDefault="00ED0B67" w:rsidP="00D3322C">
      <w:pPr>
        <w:pStyle w:val="a"/>
        <w:spacing w:before="0"/>
        <w:ind w:left="0" w:firstLine="90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322C">
        <w:rPr>
          <w:rFonts w:ascii="Times New Roman" w:hAnsi="Times New Roman" w:cs="Times New Roman"/>
          <w:sz w:val="28"/>
          <w:szCs w:val="28"/>
          <w:lang w:val="ru-RU" w:eastAsia="ru-RU"/>
        </w:rPr>
        <w:t>Нормативный метод</w:t>
      </w:r>
    </w:p>
    <w:p w:rsidR="00ED0B67" w:rsidRPr="00A828C3" w:rsidRDefault="00ED0B67" w:rsidP="00D3322C">
      <w:pPr>
        <w:pStyle w:val="a"/>
        <w:spacing w:before="0"/>
        <w:ind w:left="0" w:firstLine="90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>Метод одной цены (один производитель)</w:t>
      </w:r>
    </w:p>
    <w:p w:rsidR="00ED0B67" w:rsidRPr="00A828C3" w:rsidRDefault="00ED0B67" w:rsidP="00D3322C">
      <w:pPr>
        <w:pStyle w:val="a"/>
        <w:spacing w:before="0"/>
        <w:ind w:left="0" w:firstLine="90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>Тарифный метод</w:t>
      </w:r>
    </w:p>
    <w:p w:rsidR="00ED0B67" w:rsidRPr="00A828C3" w:rsidRDefault="00ED0B67" w:rsidP="00D3322C">
      <w:pPr>
        <w:pStyle w:val="a"/>
        <w:spacing w:before="0"/>
        <w:ind w:left="0" w:firstLine="90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Метод индексации (расчет на основании цены товаров, закупленных заказчиком в предыдущем периоде). Используется  при повторяющихся </w:t>
      </w:r>
      <w:proofErr w:type="gramStart"/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>закупках</w:t>
      </w:r>
      <w:proofErr w:type="gramEnd"/>
    </w:p>
    <w:p w:rsidR="00ED0B67" w:rsidRPr="00A828C3" w:rsidRDefault="00ED0B67" w:rsidP="00D3322C">
      <w:pPr>
        <w:pStyle w:val="a"/>
        <w:spacing w:before="0"/>
        <w:ind w:left="0" w:firstLine="90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>Запросный метод (</w:t>
      </w:r>
      <w:r w:rsidRPr="00A828C3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дополнительно</w:t>
      </w:r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методу индексации и </w:t>
      </w:r>
      <w:r w:rsidRPr="00A828C3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при наличии конкурентного рынка</w:t>
      </w:r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>). Не менее 5 поставщиков</w:t>
      </w:r>
    </w:p>
    <w:p w:rsidR="00ED0B67" w:rsidRPr="00A828C3" w:rsidRDefault="00ED0B67" w:rsidP="00D3322C">
      <w:pPr>
        <w:pStyle w:val="a"/>
        <w:spacing w:before="0"/>
        <w:ind w:left="0" w:firstLine="90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>Проектный метод (дорогостоящие долгосрочные проекты)</w:t>
      </w:r>
    </w:p>
    <w:p w:rsidR="00ED0B67" w:rsidRPr="00A828C3" w:rsidRDefault="00ED0B67" w:rsidP="00D3322C">
      <w:pPr>
        <w:pStyle w:val="a"/>
        <w:spacing w:before="0"/>
        <w:ind w:left="0" w:firstLine="90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828C3">
        <w:rPr>
          <w:rFonts w:ascii="Times New Roman" w:hAnsi="Times New Roman" w:cs="Times New Roman"/>
          <w:sz w:val="28"/>
          <w:szCs w:val="28"/>
          <w:lang w:val="ru-RU" w:eastAsia="ru-RU"/>
        </w:rPr>
        <w:t>Иные обоснованные заказчиком методы.</w:t>
      </w:r>
    </w:p>
    <w:p w:rsidR="00ED0B67" w:rsidRPr="00A828C3" w:rsidRDefault="00ED0B67" w:rsidP="00D3322C">
      <w:pPr>
        <w:spacing w:line="240" w:lineRule="auto"/>
        <w:ind w:firstLine="907"/>
        <w:textAlignment w:val="baseline"/>
        <w:rPr>
          <w:rFonts w:eastAsia="Times New Roman"/>
          <w:lang w:eastAsia="ru-RU"/>
        </w:rPr>
      </w:pPr>
      <w:r w:rsidRPr="00A828C3">
        <w:rPr>
          <w:rFonts w:eastAsia="Times New Roman"/>
          <w:lang w:eastAsia="ru-RU"/>
        </w:rPr>
        <w:t>Указание на метод индексации в качестве основного, отсутствие прямого указания на учет результатов аналогичных закупок других заказчиков создает условия к поддержанию высоких цен. Если предыдущие закупки были проведены по завышенной цене, например, по результатам несостоявшихся торгов, то метод индексации сам по себе также приведет к завышенной цене.</w:t>
      </w:r>
    </w:p>
    <w:p w:rsidR="00ED0B67" w:rsidRPr="00A828C3" w:rsidRDefault="00ED0B67" w:rsidP="00D3322C">
      <w:pPr>
        <w:spacing w:line="240" w:lineRule="auto"/>
        <w:ind w:firstLine="907"/>
        <w:textAlignment w:val="baseline"/>
        <w:rPr>
          <w:lang w:eastAsia="ru-RU"/>
        </w:rPr>
      </w:pPr>
      <w:r w:rsidRPr="00A828C3">
        <w:rPr>
          <w:rFonts w:eastAsia="Times New Roman"/>
          <w:lang w:eastAsia="ru-RU"/>
        </w:rPr>
        <w:t>Считаем необходимым предусмотреть метод, который позволял бы учитывать результаты аналогичных торгов, проведенных другими заказчиками, на основании данных единой системы мониторинга государственных закупок.</w:t>
      </w:r>
    </w:p>
    <w:p w:rsidR="00ED0B67" w:rsidRPr="00D3322C" w:rsidRDefault="00D3322C" w:rsidP="00D3322C">
      <w:pPr>
        <w:spacing w:line="240" w:lineRule="auto"/>
        <w:ind w:firstLine="907"/>
      </w:pPr>
      <w:r w:rsidRPr="00D3322C">
        <w:t>20</w:t>
      </w:r>
      <w:r w:rsidR="00ED0B67" w:rsidRPr="00D3322C">
        <w:t xml:space="preserve">. Необходимость обоснования формирования лотов. </w:t>
      </w:r>
    </w:p>
    <w:p w:rsidR="00ED0B67" w:rsidRPr="00A828C3" w:rsidRDefault="00ED0B67" w:rsidP="00D3322C">
      <w:pPr>
        <w:spacing w:line="240" w:lineRule="auto"/>
        <w:ind w:firstLine="907"/>
      </w:pPr>
      <w:r w:rsidRPr="00D3322C">
        <w:t>Законопроект содержит общие указания на возможность</w:t>
      </w:r>
      <w:r w:rsidRPr="00A828C3">
        <w:t xml:space="preserve"> размещения товара лотами, не определяя правила их формирования. Некоторые, но, очевидно, недостаточные нормы включены в статью 17 закона о защите конкуренции. Требуется включение в законопроект правил формирования лотов.</w:t>
      </w:r>
    </w:p>
    <w:p w:rsidR="00ED0B67" w:rsidRDefault="00ED0B67" w:rsidP="00D3322C">
      <w:pPr>
        <w:spacing w:line="240" w:lineRule="auto"/>
        <w:ind w:firstLine="907"/>
      </w:pPr>
      <w:r w:rsidRPr="00A828C3">
        <w:t>Следует учесть, что на ряде рынков с ослабленной конкуренцией, например, на олигополистических рынках, формирование крупных или составных лотов, предложение по которым может сделать лишь один участник рынка, способно привести к еще большему ограничению конкуренции. С другой стороны, разделение крупных закупок на более мелкие лоты может привести к снижению стимулов участия в торгах крупных игроков и к ограничению конкуренции. Таким образом, формирование лотов имеет не меньшее значение для конкуренции на торгах, чем, например, правильно определенная начальная (максимальная) цена. Определение размера и состава лота должно быть, следовательно, обоснованно заказчиком с применением методов</w:t>
      </w:r>
      <w:r>
        <w:t>, которые</w:t>
      </w:r>
      <w:r w:rsidRPr="00A828C3">
        <w:t xml:space="preserve"> должны</w:t>
      </w:r>
      <w:r w:rsidRPr="00A828C3">
        <w:rPr>
          <w:b/>
        </w:rPr>
        <w:t xml:space="preserve"> </w:t>
      </w:r>
      <w:r w:rsidRPr="00A828C3">
        <w:t xml:space="preserve"> быть определены в законопроекте хотя бы в общи</w:t>
      </w:r>
      <w:r>
        <w:t>х</w:t>
      </w:r>
      <w:r w:rsidRPr="00A828C3">
        <w:t xml:space="preserve"> чертах.</w:t>
      </w:r>
    </w:p>
    <w:sectPr w:rsidR="00ED0B67" w:rsidSect="003400A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90E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8F5524"/>
    <w:multiLevelType w:val="singleLevel"/>
    <w:tmpl w:val="35A66BFA"/>
    <w:name w:val="HouseList21"/>
    <w:lvl w:ilvl="0">
      <w:start w:val="1"/>
      <w:numFmt w:val="bullet"/>
      <w:pStyle w:val="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">
    <w:nsid w:val="719B1E65"/>
    <w:multiLevelType w:val="hybridMultilevel"/>
    <w:tmpl w:val="F6BC4820"/>
    <w:lvl w:ilvl="0" w:tplc="4D60B7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900"/>
    <w:rsid w:val="000105A7"/>
    <w:rsid w:val="0009689D"/>
    <w:rsid w:val="000A32E4"/>
    <w:rsid w:val="000A36DD"/>
    <w:rsid w:val="000E2C8E"/>
    <w:rsid w:val="000E5CC7"/>
    <w:rsid w:val="000F6062"/>
    <w:rsid w:val="00196C19"/>
    <w:rsid w:val="001E0D82"/>
    <w:rsid w:val="0020565A"/>
    <w:rsid w:val="0021167F"/>
    <w:rsid w:val="0021499F"/>
    <w:rsid w:val="00235721"/>
    <w:rsid w:val="00263E90"/>
    <w:rsid w:val="002A6060"/>
    <w:rsid w:val="002A70CF"/>
    <w:rsid w:val="002D54A9"/>
    <w:rsid w:val="002E770F"/>
    <w:rsid w:val="002F2E77"/>
    <w:rsid w:val="003400A1"/>
    <w:rsid w:val="0034396B"/>
    <w:rsid w:val="00343F9D"/>
    <w:rsid w:val="00360D7B"/>
    <w:rsid w:val="00375D84"/>
    <w:rsid w:val="00383E6E"/>
    <w:rsid w:val="003B41CD"/>
    <w:rsid w:val="003D508B"/>
    <w:rsid w:val="003E5097"/>
    <w:rsid w:val="00446433"/>
    <w:rsid w:val="00461021"/>
    <w:rsid w:val="004B5DF1"/>
    <w:rsid w:val="004E68F9"/>
    <w:rsid w:val="00506F3E"/>
    <w:rsid w:val="0051773A"/>
    <w:rsid w:val="00554CB9"/>
    <w:rsid w:val="00585496"/>
    <w:rsid w:val="005933CA"/>
    <w:rsid w:val="005F72D2"/>
    <w:rsid w:val="0064371E"/>
    <w:rsid w:val="006561F2"/>
    <w:rsid w:val="00683FC4"/>
    <w:rsid w:val="006B1900"/>
    <w:rsid w:val="006C5682"/>
    <w:rsid w:val="006D3FA3"/>
    <w:rsid w:val="006F4FA9"/>
    <w:rsid w:val="007A6526"/>
    <w:rsid w:val="007A778A"/>
    <w:rsid w:val="00825532"/>
    <w:rsid w:val="00834959"/>
    <w:rsid w:val="0086497E"/>
    <w:rsid w:val="00886C66"/>
    <w:rsid w:val="00903F0B"/>
    <w:rsid w:val="00914C5E"/>
    <w:rsid w:val="0093350F"/>
    <w:rsid w:val="009430C1"/>
    <w:rsid w:val="00962401"/>
    <w:rsid w:val="00970FA6"/>
    <w:rsid w:val="009B332D"/>
    <w:rsid w:val="00A421AC"/>
    <w:rsid w:val="00A62055"/>
    <w:rsid w:val="00A828C3"/>
    <w:rsid w:val="00A8356D"/>
    <w:rsid w:val="00AE7370"/>
    <w:rsid w:val="00AF0128"/>
    <w:rsid w:val="00BA542A"/>
    <w:rsid w:val="00BB5CF3"/>
    <w:rsid w:val="00C17462"/>
    <w:rsid w:val="00C62F63"/>
    <w:rsid w:val="00CD02D7"/>
    <w:rsid w:val="00CD6D89"/>
    <w:rsid w:val="00CE2791"/>
    <w:rsid w:val="00CF1FA4"/>
    <w:rsid w:val="00D125D2"/>
    <w:rsid w:val="00D3322C"/>
    <w:rsid w:val="00D35D5F"/>
    <w:rsid w:val="00DA4AE0"/>
    <w:rsid w:val="00DF76B9"/>
    <w:rsid w:val="00E06434"/>
    <w:rsid w:val="00E15078"/>
    <w:rsid w:val="00E462C2"/>
    <w:rsid w:val="00E54C7A"/>
    <w:rsid w:val="00E626AB"/>
    <w:rsid w:val="00E64359"/>
    <w:rsid w:val="00E80C57"/>
    <w:rsid w:val="00E8564E"/>
    <w:rsid w:val="00EA1FEB"/>
    <w:rsid w:val="00ED0B67"/>
    <w:rsid w:val="00ED52B3"/>
    <w:rsid w:val="00F061CE"/>
    <w:rsid w:val="00F15344"/>
    <w:rsid w:val="00F16CEE"/>
    <w:rsid w:val="00F40D73"/>
    <w:rsid w:val="00FB5D46"/>
    <w:rsid w:val="00FD5F54"/>
    <w:rsid w:val="00FD6C24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21AC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6B1900"/>
    <w:pPr>
      <w:ind w:left="720"/>
      <w:contextualSpacing/>
    </w:pPr>
  </w:style>
  <w:style w:type="paragraph" w:styleId="a">
    <w:name w:val="List Bullet"/>
    <w:basedOn w:val="a5"/>
    <w:uiPriority w:val="99"/>
    <w:rsid w:val="00DA4AE0"/>
    <w:pPr>
      <w:numPr>
        <w:numId w:val="3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 w:line="240" w:lineRule="auto"/>
    </w:pPr>
    <w:rPr>
      <w:rFonts w:ascii="Tahoma" w:hAnsi="Tahoma" w:cs="Tahoma"/>
      <w:sz w:val="20"/>
      <w:szCs w:val="20"/>
      <w:lang w:val="en-GB"/>
    </w:rPr>
  </w:style>
  <w:style w:type="paragraph" w:styleId="a5">
    <w:name w:val="Body Text"/>
    <w:basedOn w:val="a0"/>
    <w:link w:val="a6"/>
    <w:uiPriority w:val="99"/>
    <w:rsid w:val="00DA4AE0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792997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 </vt:lpstr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</dc:title>
  <dc:creator>GluhovaMN</dc:creator>
  <cp:lastModifiedBy>KotelevskayaIV</cp:lastModifiedBy>
  <cp:revision>3</cp:revision>
  <dcterms:created xsi:type="dcterms:W3CDTF">2011-12-03T11:42:00Z</dcterms:created>
  <dcterms:modified xsi:type="dcterms:W3CDTF">2011-12-08T10:45:00Z</dcterms:modified>
</cp:coreProperties>
</file>