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8F" w:rsidRDefault="00AC338F"/>
    <w:p w:rsidR="00AC338F" w:rsidRPr="005E58EC" w:rsidRDefault="00AC338F" w:rsidP="00AC338F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5E58EC">
        <w:rPr>
          <w:rFonts w:ascii="Arial" w:hAnsi="Arial" w:cs="Arial"/>
          <w:b/>
          <w:color w:val="365F91" w:themeColor="accent1" w:themeShade="BF"/>
          <w:sz w:val="24"/>
          <w:szCs w:val="24"/>
        </w:rPr>
        <w:t>Программа</w:t>
      </w:r>
    </w:p>
    <w:p w:rsidR="00AC338F" w:rsidRPr="005E58EC" w:rsidRDefault="00AC338F" w:rsidP="00AC338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/>
        <w:ind w:left="-425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     </w:t>
      </w:r>
      <w:r w:rsidRPr="005E58EC">
        <w:rPr>
          <w:rFonts w:ascii="Arial" w:hAnsi="Arial" w:cs="Arial"/>
          <w:b/>
          <w:color w:val="365F91" w:themeColor="accent1" w:themeShade="BF"/>
          <w:sz w:val="24"/>
          <w:szCs w:val="24"/>
        </w:rPr>
        <w:t>Круглого стола</w:t>
      </w:r>
    </w:p>
    <w:p w:rsidR="00AC338F" w:rsidRPr="00F26B0D" w:rsidRDefault="00AC338F" w:rsidP="00AC338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/>
        <w:ind w:left="-425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F26B0D">
        <w:rPr>
          <w:rFonts w:ascii="Arial" w:hAnsi="Arial" w:cs="Arial"/>
          <w:b/>
          <w:color w:val="365F91" w:themeColor="accent1" w:themeShade="BF"/>
          <w:sz w:val="24"/>
          <w:szCs w:val="24"/>
        </w:rPr>
        <w:t>«</w:t>
      </w:r>
      <w:r w:rsidRPr="00F26B0D">
        <w:rPr>
          <w:b/>
          <w:color w:val="365F91" w:themeColor="accent1" w:themeShade="BF"/>
          <w:sz w:val="28"/>
          <w:szCs w:val="28"/>
        </w:rPr>
        <w:t>Как нам развивать денежный рынок и рынок капиталов</w:t>
      </w:r>
      <w:r w:rsidRPr="00F26B0D">
        <w:rPr>
          <w:rFonts w:ascii="Arial" w:hAnsi="Arial" w:cs="Arial"/>
          <w:b/>
          <w:color w:val="365F91" w:themeColor="accent1" w:themeShade="BF"/>
          <w:sz w:val="24"/>
          <w:szCs w:val="24"/>
        </w:rPr>
        <w:t>»</w:t>
      </w:r>
    </w:p>
    <w:p w:rsidR="00AC338F" w:rsidRPr="005E58EC" w:rsidRDefault="00AC338F" w:rsidP="00AC338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312" w:lineRule="auto"/>
        <w:ind w:left="-425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26</w:t>
      </w:r>
      <w:r w:rsidRPr="005E58E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апреля</w:t>
      </w:r>
      <w:r w:rsidRPr="005E58E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201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6</w:t>
      </w:r>
      <w:r w:rsidRPr="005E58E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года, РСПП</w:t>
      </w:r>
    </w:p>
    <w:p w:rsidR="00FC053E" w:rsidRPr="005E58EC" w:rsidRDefault="00FC053E" w:rsidP="00FC053E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5E58EC" w:rsidRPr="005E58EC" w:rsidRDefault="001A7103" w:rsidP="005E58EC">
      <w:pPr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 w:rsidRPr="005E58EC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Организаторы: </w:t>
      </w:r>
    </w:p>
    <w:p w:rsidR="005E58EC" w:rsidRPr="00F26B0D" w:rsidRDefault="001A7103" w:rsidP="005E58EC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F26B0D">
        <w:rPr>
          <w:rFonts w:ascii="Arial" w:hAnsi="Arial" w:cs="Arial"/>
          <w:color w:val="365F91" w:themeColor="accent1" w:themeShade="BF"/>
          <w:sz w:val="24"/>
          <w:szCs w:val="24"/>
        </w:rPr>
        <w:t>Комиссия РСПП по ба</w:t>
      </w:r>
      <w:r w:rsidR="004F18C0" w:rsidRPr="00F26B0D">
        <w:rPr>
          <w:rFonts w:ascii="Arial" w:hAnsi="Arial" w:cs="Arial"/>
          <w:color w:val="365F91" w:themeColor="accent1" w:themeShade="BF"/>
          <w:sz w:val="24"/>
          <w:szCs w:val="24"/>
        </w:rPr>
        <w:t>нкам и банковской деятельности</w:t>
      </w:r>
    </w:p>
    <w:p w:rsidR="005E58EC" w:rsidRPr="00F26B0D" w:rsidRDefault="001A7103" w:rsidP="005E58EC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F26B0D">
        <w:rPr>
          <w:rFonts w:ascii="Arial" w:hAnsi="Arial" w:cs="Arial"/>
          <w:color w:val="365F91" w:themeColor="accent1" w:themeShade="BF"/>
          <w:sz w:val="24"/>
          <w:szCs w:val="24"/>
        </w:rPr>
        <w:t>Международный банковский клуб «</w:t>
      </w:r>
      <w:r w:rsidRPr="00F26B0D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INTERBANKCLUB</w:t>
      </w:r>
      <w:r w:rsidRPr="00F26B0D">
        <w:rPr>
          <w:rFonts w:ascii="Arial" w:hAnsi="Arial" w:cs="Arial"/>
          <w:color w:val="365F91" w:themeColor="accent1" w:themeShade="BF"/>
          <w:sz w:val="24"/>
          <w:szCs w:val="24"/>
        </w:rPr>
        <w:t>.</w:t>
      </w:r>
      <w:r w:rsidRPr="00F26B0D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com</w:t>
      </w:r>
      <w:r w:rsidR="004F18C0" w:rsidRPr="00F26B0D">
        <w:rPr>
          <w:rFonts w:ascii="Arial" w:hAnsi="Arial" w:cs="Arial"/>
          <w:color w:val="365F91" w:themeColor="accent1" w:themeShade="BF"/>
          <w:sz w:val="24"/>
          <w:szCs w:val="24"/>
        </w:rPr>
        <w:t>»</w:t>
      </w:r>
    </w:p>
    <w:p w:rsidR="005E58EC" w:rsidRPr="005E58EC" w:rsidRDefault="005E58EC" w:rsidP="005E58EC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A7103" w:rsidRPr="005E58EC" w:rsidRDefault="001A7103" w:rsidP="005E58EC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E58EC">
        <w:rPr>
          <w:rFonts w:ascii="Arial" w:hAnsi="Arial" w:cs="Arial"/>
          <w:color w:val="365F91" w:themeColor="accent1" w:themeShade="BF"/>
          <w:sz w:val="24"/>
          <w:szCs w:val="24"/>
        </w:rPr>
        <w:t>Время  проведения: 10.00 – 1</w:t>
      </w:r>
      <w:r w:rsidR="00F31DDE">
        <w:rPr>
          <w:rFonts w:ascii="Arial" w:hAnsi="Arial" w:cs="Arial"/>
          <w:color w:val="365F91" w:themeColor="accent1" w:themeShade="BF"/>
          <w:sz w:val="24"/>
          <w:szCs w:val="24"/>
        </w:rPr>
        <w:t>3</w:t>
      </w:r>
      <w:r w:rsidRPr="005E58EC">
        <w:rPr>
          <w:rFonts w:ascii="Arial" w:hAnsi="Arial" w:cs="Arial"/>
          <w:color w:val="365F91" w:themeColor="accent1" w:themeShade="BF"/>
          <w:sz w:val="24"/>
          <w:szCs w:val="24"/>
        </w:rPr>
        <w:t xml:space="preserve">.00 </w:t>
      </w:r>
    </w:p>
    <w:p w:rsidR="005E58EC" w:rsidRDefault="005E58EC" w:rsidP="005E58EC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52742C" w:rsidRDefault="0052742C" w:rsidP="005E58EC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Вопросы для обсуждения:</w:t>
      </w:r>
    </w:p>
    <w:p w:rsidR="0052742C" w:rsidRDefault="0052742C" w:rsidP="005E58EC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</w:p>
    <w:p w:rsidR="0052742C" w:rsidRPr="0052742C" w:rsidRDefault="0052742C" w:rsidP="0052742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</w:rPr>
      </w:pPr>
      <w:r w:rsidRPr="0052742C">
        <w:rPr>
          <w:rFonts w:ascii="Arial" w:hAnsi="Arial" w:cs="Arial"/>
          <w:color w:val="365F91" w:themeColor="accent1" w:themeShade="BF"/>
        </w:rPr>
        <w:t>1. Действия Банка России, влияющие на денежный рынок и рынок капиталов. «Ценные бумаги вместо депозитов» – работа по оптимизация эмиссии облигаций.</w:t>
      </w:r>
    </w:p>
    <w:p w:rsidR="0052742C" w:rsidRPr="0052742C" w:rsidRDefault="0052742C" w:rsidP="0052742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</w:rPr>
      </w:pPr>
      <w:r w:rsidRPr="0052742C">
        <w:rPr>
          <w:rFonts w:ascii="Arial" w:hAnsi="Arial" w:cs="Arial"/>
          <w:color w:val="365F91" w:themeColor="accent1" w:themeShade="BF"/>
        </w:rPr>
        <w:t>2. Возможности биржевого сектора для развития денежного рынка:</w:t>
      </w:r>
    </w:p>
    <w:p w:rsidR="0052742C" w:rsidRPr="0052742C" w:rsidRDefault="00AC338F" w:rsidP="0052742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н</w:t>
      </w:r>
      <w:r w:rsidR="0052742C" w:rsidRPr="0052742C">
        <w:rPr>
          <w:rFonts w:ascii="Arial" w:hAnsi="Arial" w:cs="Arial"/>
          <w:color w:val="365F91" w:themeColor="accent1" w:themeShade="BF"/>
        </w:rPr>
        <w:t>овые инструменты и технологии денежного рынка Московской Биржи</w:t>
      </w:r>
      <w:r>
        <w:rPr>
          <w:rFonts w:ascii="Arial" w:hAnsi="Arial" w:cs="Arial"/>
          <w:color w:val="365F91" w:themeColor="accent1" w:themeShade="BF"/>
        </w:rPr>
        <w:t>;</w:t>
      </w:r>
    </w:p>
    <w:p w:rsidR="0052742C" w:rsidRPr="0052742C" w:rsidRDefault="00AC338F" w:rsidP="0052742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к</w:t>
      </w:r>
      <w:r w:rsidR="0052742C" w:rsidRPr="0052742C">
        <w:rPr>
          <w:rFonts w:ascii="Arial" w:hAnsi="Arial" w:cs="Arial"/>
          <w:color w:val="365F91" w:themeColor="accent1" w:themeShade="BF"/>
        </w:rPr>
        <w:t>лиринговые сертификаты участия</w:t>
      </w:r>
      <w:r>
        <w:rPr>
          <w:rFonts w:ascii="Arial" w:hAnsi="Arial" w:cs="Arial"/>
          <w:color w:val="365F91" w:themeColor="accent1" w:themeShade="BF"/>
        </w:rPr>
        <w:t>.</w:t>
      </w:r>
    </w:p>
    <w:p w:rsidR="0052742C" w:rsidRPr="0052742C" w:rsidRDefault="0052742C" w:rsidP="0052742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</w:rPr>
      </w:pPr>
      <w:r w:rsidRPr="0052742C">
        <w:rPr>
          <w:rFonts w:ascii="Arial" w:hAnsi="Arial" w:cs="Arial"/>
          <w:color w:val="365F91" w:themeColor="accent1" w:themeShade="BF"/>
        </w:rPr>
        <w:t>3. Предпосылки и перспективы создания централизованной внебиржевой системы денежного рынка:</w:t>
      </w:r>
    </w:p>
    <w:p w:rsidR="0052742C" w:rsidRPr="0052742C" w:rsidRDefault="00AC338F" w:rsidP="0052742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с</w:t>
      </w:r>
      <w:r w:rsidR="0052742C" w:rsidRPr="0052742C">
        <w:rPr>
          <w:rFonts w:ascii="Arial" w:hAnsi="Arial" w:cs="Arial"/>
          <w:color w:val="365F91" w:themeColor="accent1" w:themeShade="BF"/>
        </w:rPr>
        <w:t>овременные потребности в торговом функционале, в раскрытии информации и в средствах контроля рисков на денежном рынке</w:t>
      </w:r>
      <w:r>
        <w:rPr>
          <w:rFonts w:ascii="Arial" w:hAnsi="Arial" w:cs="Arial"/>
          <w:color w:val="365F91" w:themeColor="accent1" w:themeShade="BF"/>
        </w:rPr>
        <w:t>;</w:t>
      </w:r>
    </w:p>
    <w:p w:rsidR="0052742C" w:rsidRPr="0052742C" w:rsidRDefault="00AC338F" w:rsidP="0052742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в</w:t>
      </w:r>
      <w:r w:rsidR="0052742C" w:rsidRPr="0052742C">
        <w:rPr>
          <w:rFonts w:ascii="Arial" w:hAnsi="Arial" w:cs="Arial"/>
          <w:color w:val="365F91" w:themeColor="accent1" w:themeShade="BF"/>
        </w:rPr>
        <w:t>озможности организации единого рынка с участием банковских, фин</w:t>
      </w:r>
      <w:r>
        <w:rPr>
          <w:rFonts w:ascii="Arial" w:hAnsi="Arial" w:cs="Arial"/>
          <w:color w:val="365F91" w:themeColor="accent1" w:themeShade="BF"/>
        </w:rPr>
        <w:t>ансовых и нефинансовых компаний;</w:t>
      </w:r>
    </w:p>
    <w:p w:rsidR="0052742C" w:rsidRPr="0052742C" w:rsidRDefault="00AC338F" w:rsidP="0052742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к</w:t>
      </w:r>
      <w:r w:rsidR="0052742C" w:rsidRPr="0052742C">
        <w:rPr>
          <w:rFonts w:ascii="Arial" w:hAnsi="Arial" w:cs="Arial"/>
          <w:color w:val="365F91" w:themeColor="accent1" w:themeShade="BF"/>
        </w:rPr>
        <w:t xml:space="preserve">лючевые возможности и перспективы развития информационной системы RTS </w:t>
      </w:r>
      <w:proofErr w:type="spellStart"/>
      <w:r w:rsidR="0052742C" w:rsidRPr="0052742C">
        <w:rPr>
          <w:rFonts w:ascii="Arial" w:hAnsi="Arial" w:cs="Arial"/>
          <w:color w:val="365F91" w:themeColor="accent1" w:themeShade="BF"/>
        </w:rPr>
        <w:t>Board</w:t>
      </w:r>
      <w:proofErr w:type="spellEnd"/>
      <w:r w:rsidR="0052742C" w:rsidRPr="0052742C">
        <w:rPr>
          <w:rFonts w:ascii="Arial" w:hAnsi="Arial" w:cs="Arial"/>
          <w:color w:val="365F91" w:themeColor="accent1" w:themeShade="BF"/>
        </w:rPr>
        <w:t xml:space="preserve">; развитие </w:t>
      </w:r>
      <w:proofErr w:type="spellStart"/>
      <w:proofErr w:type="gramStart"/>
      <w:r w:rsidR="0052742C" w:rsidRPr="0052742C">
        <w:rPr>
          <w:rFonts w:ascii="Arial" w:hAnsi="Arial" w:cs="Arial"/>
          <w:color w:val="365F91" w:themeColor="accent1" w:themeShade="BF"/>
        </w:rPr>
        <w:t>c</w:t>
      </w:r>
      <w:proofErr w:type="gramEnd"/>
      <w:r w:rsidR="0052742C" w:rsidRPr="0052742C">
        <w:rPr>
          <w:rFonts w:ascii="Arial" w:hAnsi="Arial" w:cs="Arial"/>
          <w:color w:val="365F91" w:themeColor="accent1" w:themeShade="BF"/>
        </w:rPr>
        <w:t>истемы</w:t>
      </w:r>
      <w:proofErr w:type="spellEnd"/>
      <w:r w:rsidR="0052742C" w:rsidRPr="0052742C">
        <w:rPr>
          <w:rFonts w:ascii="Arial" w:hAnsi="Arial" w:cs="Arial"/>
          <w:color w:val="365F91" w:themeColor="accent1" w:themeShade="BF"/>
        </w:rPr>
        <w:t xml:space="preserve"> </w:t>
      </w:r>
      <w:proofErr w:type="spellStart"/>
      <w:r w:rsidR="0052742C" w:rsidRPr="0052742C">
        <w:rPr>
          <w:rFonts w:ascii="Arial" w:hAnsi="Arial" w:cs="Arial"/>
          <w:color w:val="365F91" w:themeColor="accent1" w:themeShade="BF"/>
        </w:rPr>
        <w:t>Delta</w:t>
      </w:r>
      <w:proofErr w:type="spellEnd"/>
      <w:r w:rsidR="0052742C" w:rsidRPr="0052742C">
        <w:rPr>
          <w:rFonts w:ascii="Arial" w:hAnsi="Arial" w:cs="Arial"/>
          <w:color w:val="365F91" w:themeColor="accent1" w:themeShade="BF"/>
        </w:rPr>
        <w:t>; необходимость в иных системах на денежном рынке.</w:t>
      </w:r>
    </w:p>
    <w:p w:rsidR="0052742C" w:rsidRPr="0052742C" w:rsidRDefault="0052742C" w:rsidP="0052742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</w:rPr>
      </w:pPr>
      <w:r w:rsidRPr="0052742C">
        <w:rPr>
          <w:rFonts w:ascii="Arial" w:hAnsi="Arial" w:cs="Arial"/>
          <w:color w:val="365F91" w:themeColor="accent1" w:themeShade="BF"/>
        </w:rPr>
        <w:t>4. Придут ли корпоративные клиенты на денежный рынок.</w:t>
      </w:r>
    </w:p>
    <w:p w:rsidR="0052742C" w:rsidRDefault="0052742C" w:rsidP="005E58EC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</w:p>
    <w:p w:rsidR="005E58EC" w:rsidRPr="005E58EC" w:rsidRDefault="005E58EC" w:rsidP="002A6C81">
      <w:pPr>
        <w:spacing w:before="120" w:after="12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 w:rsidRPr="005E58EC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Открытие </w:t>
      </w:r>
      <w:r w:rsidR="00D801E2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заседания</w:t>
      </w:r>
      <w:r w:rsidRPr="005E58EC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:</w:t>
      </w:r>
    </w:p>
    <w:p w:rsidR="005E58EC" w:rsidRPr="005E58EC" w:rsidRDefault="005E58EC" w:rsidP="002A6C81">
      <w:pPr>
        <w:spacing w:before="120" w:after="12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E58EC">
        <w:rPr>
          <w:rFonts w:ascii="Arial" w:hAnsi="Arial" w:cs="Arial"/>
          <w:b/>
          <w:color w:val="365F91" w:themeColor="accent1" w:themeShade="BF"/>
          <w:sz w:val="24"/>
          <w:szCs w:val="24"/>
        </w:rPr>
        <w:t>Александр Мурычев,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исполнительный вице-президент РСПП</w:t>
      </w:r>
    </w:p>
    <w:p w:rsidR="00AF0F15" w:rsidRPr="002A6C81" w:rsidRDefault="00AF0F15" w:rsidP="002A6C81">
      <w:p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 w:rsidRPr="002A6C81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Модератор: </w:t>
      </w:r>
    </w:p>
    <w:p w:rsidR="00AF0F15" w:rsidRPr="00AF0F15" w:rsidRDefault="00AF0F15" w:rsidP="002A6C81">
      <w:p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AF0F15">
        <w:rPr>
          <w:rFonts w:ascii="Arial" w:hAnsi="Arial" w:cs="Arial"/>
          <w:b/>
          <w:color w:val="365F91" w:themeColor="accent1" w:themeShade="BF"/>
          <w:sz w:val="24"/>
          <w:szCs w:val="24"/>
        </w:rPr>
        <w:t>Екатерина Супрунович,</w:t>
      </w:r>
      <w:r w:rsidRPr="00AF0F15">
        <w:rPr>
          <w:rFonts w:ascii="Arial" w:hAnsi="Arial" w:cs="Arial"/>
          <w:color w:val="365F91" w:themeColor="accent1" w:themeShade="BF"/>
          <w:sz w:val="24"/>
          <w:szCs w:val="24"/>
        </w:rPr>
        <w:t xml:space="preserve"> руководитель  Международного банковского клуба «</w:t>
      </w:r>
      <w:r w:rsidRPr="00AF0F15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INTERBANKCLUB</w:t>
      </w:r>
      <w:r w:rsidRPr="00AF0F15">
        <w:rPr>
          <w:rFonts w:ascii="Arial" w:hAnsi="Arial" w:cs="Arial"/>
          <w:color w:val="365F91" w:themeColor="accent1" w:themeShade="BF"/>
          <w:sz w:val="24"/>
          <w:szCs w:val="24"/>
        </w:rPr>
        <w:t>.</w:t>
      </w:r>
      <w:r w:rsidRPr="00AF0F15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com</w:t>
      </w:r>
      <w:r w:rsidRPr="00AF0F15">
        <w:rPr>
          <w:rFonts w:ascii="Arial" w:hAnsi="Arial" w:cs="Arial"/>
          <w:color w:val="365F91" w:themeColor="accent1" w:themeShade="BF"/>
          <w:sz w:val="24"/>
          <w:szCs w:val="24"/>
        </w:rPr>
        <w:t>», вице-президент АКБ «</w:t>
      </w:r>
      <w:proofErr w:type="spellStart"/>
      <w:r w:rsidRPr="00AF0F15">
        <w:rPr>
          <w:rFonts w:ascii="Arial" w:hAnsi="Arial" w:cs="Arial"/>
          <w:color w:val="365F91" w:themeColor="accent1" w:themeShade="BF"/>
          <w:sz w:val="24"/>
          <w:szCs w:val="24"/>
        </w:rPr>
        <w:t>Новикомбанк</w:t>
      </w:r>
      <w:proofErr w:type="spellEnd"/>
      <w:r w:rsidRPr="00AF0F15">
        <w:rPr>
          <w:rFonts w:ascii="Arial" w:hAnsi="Arial" w:cs="Arial"/>
          <w:color w:val="365F91" w:themeColor="accent1" w:themeShade="BF"/>
          <w:sz w:val="24"/>
          <w:szCs w:val="24"/>
        </w:rPr>
        <w:t>»</w:t>
      </w:r>
    </w:p>
    <w:p w:rsidR="001A7103" w:rsidRPr="005E58EC" w:rsidRDefault="00F31DDE" w:rsidP="002A6C81">
      <w:pPr>
        <w:pStyle w:val="a8"/>
        <w:spacing w:before="120" w:beforeAutospacing="0" w:after="120" w:afterAutospacing="0"/>
        <w:rPr>
          <w:rFonts w:ascii="Arial" w:hAnsi="Arial" w:cs="Arial"/>
          <w:color w:val="365F91" w:themeColor="accent1" w:themeShade="BF"/>
          <w:u w:val="single"/>
        </w:rPr>
      </w:pPr>
      <w:r>
        <w:rPr>
          <w:rFonts w:ascii="Arial" w:hAnsi="Arial" w:cs="Arial"/>
          <w:color w:val="365F91" w:themeColor="accent1" w:themeShade="BF"/>
          <w:u w:val="single"/>
        </w:rPr>
        <w:t>Выступающие</w:t>
      </w:r>
      <w:r w:rsidR="001A7103" w:rsidRPr="005E58EC">
        <w:rPr>
          <w:rFonts w:ascii="Arial" w:hAnsi="Arial" w:cs="Arial"/>
          <w:color w:val="365F91" w:themeColor="accent1" w:themeShade="BF"/>
          <w:u w:val="single"/>
        </w:rPr>
        <w:t>:</w:t>
      </w:r>
    </w:p>
    <w:p w:rsidR="0052742C" w:rsidRPr="0052742C" w:rsidRDefault="00F31DDE" w:rsidP="00F31DDE">
      <w:pPr>
        <w:pStyle w:val="a8"/>
        <w:spacing w:before="120" w:beforeAutospacing="0" w:after="120" w:afterAutospacing="0"/>
        <w:rPr>
          <w:rFonts w:ascii="Arial" w:hAnsi="Arial" w:cs="Arial"/>
          <w:color w:val="365F91" w:themeColor="accent1" w:themeShade="BF"/>
        </w:rPr>
      </w:pPr>
      <w:r w:rsidRPr="00F31DDE">
        <w:rPr>
          <w:rFonts w:ascii="Arial" w:hAnsi="Arial" w:cs="Arial"/>
          <w:b/>
          <w:color w:val="365F91" w:themeColor="accent1" w:themeShade="BF"/>
        </w:rPr>
        <w:t>Алексей Орлов</w:t>
      </w:r>
      <w:r w:rsidR="0052742C" w:rsidRPr="0052742C">
        <w:rPr>
          <w:rFonts w:ascii="Arial" w:hAnsi="Arial" w:cs="Arial"/>
          <w:color w:val="365F91" w:themeColor="accent1" w:themeShade="BF"/>
        </w:rPr>
        <w:t xml:space="preserve">, </w:t>
      </w:r>
      <w:r>
        <w:rPr>
          <w:rFonts w:ascii="Arial" w:hAnsi="Arial" w:cs="Arial"/>
          <w:color w:val="365F91" w:themeColor="accent1" w:themeShade="BF"/>
        </w:rPr>
        <w:t xml:space="preserve">заместитель </w:t>
      </w:r>
      <w:proofErr w:type="gramStart"/>
      <w:r w:rsidR="0052742C" w:rsidRPr="0052742C">
        <w:rPr>
          <w:rFonts w:ascii="Arial" w:hAnsi="Arial" w:cs="Arial"/>
          <w:color w:val="365F91" w:themeColor="accent1" w:themeShade="BF"/>
        </w:rPr>
        <w:t>директор</w:t>
      </w:r>
      <w:r>
        <w:rPr>
          <w:rFonts w:ascii="Arial" w:hAnsi="Arial" w:cs="Arial"/>
          <w:color w:val="365F91" w:themeColor="accent1" w:themeShade="BF"/>
        </w:rPr>
        <w:t>а</w:t>
      </w:r>
      <w:r w:rsidR="0052742C" w:rsidRPr="0052742C">
        <w:rPr>
          <w:rFonts w:ascii="Arial" w:hAnsi="Arial" w:cs="Arial"/>
          <w:color w:val="365F91" w:themeColor="accent1" w:themeShade="BF"/>
        </w:rPr>
        <w:t xml:space="preserve"> Департамента развития финансовых рынков Банка России</w:t>
      </w:r>
      <w:proofErr w:type="gramEnd"/>
    </w:p>
    <w:p w:rsidR="00AF0F15" w:rsidRPr="00AF0F15" w:rsidRDefault="00AF0F15" w:rsidP="00AF0F15">
      <w:pPr>
        <w:spacing w:after="0" w:line="285" w:lineRule="atLeast"/>
        <w:rPr>
          <w:rFonts w:ascii="Arial" w:eastAsia="Calibri" w:hAnsi="Arial" w:cs="Arial"/>
          <w:color w:val="365F91" w:themeColor="accent1" w:themeShade="BF"/>
          <w:sz w:val="24"/>
          <w:szCs w:val="24"/>
        </w:rPr>
      </w:pPr>
      <w:r w:rsidRPr="00AF0F15">
        <w:rPr>
          <w:rFonts w:ascii="Arial" w:hAnsi="Arial" w:cs="Arial"/>
          <w:b/>
          <w:color w:val="365F91" w:themeColor="accent1" w:themeShade="BF"/>
          <w:sz w:val="24"/>
          <w:szCs w:val="24"/>
        </w:rPr>
        <w:t>Сергей Титов,</w:t>
      </w:r>
      <w:r w:rsidRPr="00AF0F15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з</w:t>
      </w:r>
      <w:r w:rsidRPr="00AF0F15">
        <w:rPr>
          <w:rFonts w:ascii="Arial" w:eastAsia="Calibri" w:hAnsi="Arial" w:cs="Arial"/>
          <w:color w:val="365F91" w:themeColor="accent1" w:themeShade="BF"/>
          <w:sz w:val="24"/>
          <w:szCs w:val="24"/>
        </w:rPr>
        <w:t xml:space="preserve">аместитель директора </w:t>
      </w:r>
      <w:r>
        <w:rPr>
          <w:rFonts w:ascii="Arial" w:eastAsia="Calibri" w:hAnsi="Arial" w:cs="Arial"/>
          <w:color w:val="365F91" w:themeColor="accent1" w:themeShade="BF"/>
          <w:sz w:val="24"/>
          <w:szCs w:val="24"/>
        </w:rPr>
        <w:t>Д</w:t>
      </w:r>
      <w:r w:rsidRPr="00AF0F15">
        <w:rPr>
          <w:rFonts w:ascii="Arial" w:eastAsia="Calibri" w:hAnsi="Arial" w:cs="Arial"/>
          <w:color w:val="365F91" w:themeColor="accent1" w:themeShade="BF"/>
          <w:sz w:val="24"/>
          <w:szCs w:val="24"/>
        </w:rPr>
        <w:t>епартамента рынка РЕПО и депозитно-кредитных операций ПАО Московская Биржа</w:t>
      </w:r>
    </w:p>
    <w:p w:rsidR="00F31DDE" w:rsidRDefault="00F31DDE" w:rsidP="00F31DDE">
      <w:pPr>
        <w:pStyle w:val="a8"/>
        <w:spacing w:before="120" w:beforeAutospacing="0" w:after="120" w:afterAutospacing="0"/>
        <w:rPr>
          <w:rFonts w:ascii="Arial" w:hAnsi="Arial" w:cs="Arial"/>
          <w:color w:val="365F91" w:themeColor="accent1" w:themeShade="BF"/>
        </w:rPr>
      </w:pPr>
      <w:r w:rsidRPr="00F31DDE">
        <w:rPr>
          <w:rFonts w:ascii="Arial" w:hAnsi="Arial" w:cs="Arial"/>
          <w:b/>
          <w:color w:val="365F91" w:themeColor="accent1" w:themeShade="BF"/>
        </w:rPr>
        <w:t xml:space="preserve">Алина </w:t>
      </w:r>
      <w:proofErr w:type="spellStart"/>
      <w:r w:rsidRPr="00F31DDE">
        <w:rPr>
          <w:rFonts w:ascii="Arial" w:hAnsi="Arial" w:cs="Arial"/>
          <w:b/>
          <w:color w:val="365F91" w:themeColor="accent1" w:themeShade="BF"/>
        </w:rPr>
        <w:t>Акчурина</w:t>
      </w:r>
      <w:proofErr w:type="spellEnd"/>
      <w:r w:rsidRPr="00F31DDE">
        <w:rPr>
          <w:rFonts w:ascii="Arial" w:hAnsi="Arial" w:cs="Arial"/>
          <w:b/>
          <w:color w:val="365F91" w:themeColor="accent1" w:themeShade="BF"/>
        </w:rPr>
        <w:t>,</w:t>
      </w:r>
      <w:r w:rsidRPr="00F31DDE">
        <w:rPr>
          <w:rFonts w:ascii="Arial" w:hAnsi="Arial" w:cs="Arial"/>
          <w:color w:val="365F91" w:themeColor="accent1" w:themeShade="BF"/>
        </w:rPr>
        <w:t xml:space="preserve"> управляющий директор по развитию сис</w:t>
      </w:r>
      <w:r w:rsidR="00AF0F15">
        <w:rPr>
          <w:rFonts w:ascii="Arial" w:hAnsi="Arial" w:cs="Arial"/>
          <w:color w:val="365F91" w:themeColor="accent1" w:themeShade="BF"/>
        </w:rPr>
        <w:t>тем управления обеспечением НРД</w:t>
      </w:r>
    </w:p>
    <w:p w:rsidR="00AF0F15" w:rsidRDefault="00AF0F15" w:rsidP="00AF0F15">
      <w:pPr>
        <w:pStyle w:val="a8"/>
        <w:spacing w:before="120" w:beforeAutospacing="0" w:after="120" w:afterAutospacing="0"/>
        <w:rPr>
          <w:rFonts w:ascii="Arial" w:hAnsi="Arial" w:cs="Arial"/>
          <w:color w:val="365F91" w:themeColor="accent1" w:themeShade="BF"/>
        </w:rPr>
      </w:pPr>
      <w:r w:rsidRPr="0052742C">
        <w:rPr>
          <w:rFonts w:ascii="Arial" w:hAnsi="Arial" w:cs="Arial"/>
          <w:b/>
          <w:color w:val="365F91" w:themeColor="accent1" w:themeShade="BF"/>
        </w:rPr>
        <w:t>Павел Соловьев</w:t>
      </w:r>
      <w:r w:rsidRPr="0052742C">
        <w:rPr>
          <w:rFonts w:ascii="Arial" w:hAnsi="Arial" w:cs="Arial"/>
          <w:color w:val="365F91" w:themeColor="accent1" w:themeShade="BF"/>
        </w:rPr>
        <w:t>, исполнительный директор по внебиржевому рынку РТС</w:t>
      </w:r>
    </w:p>
    <w:p w:rsidR="00F31DDE" w:rsidRPr="00F31DDE" w:rsidRDefault="00F31DDE" w:rsidP="00F31DDE">
      <w:pPr>
        <w:pStyle w:val="a8"/>
        <w:spacing w:before="120" w:beforeAutospacing="0" w:after="120" w:afterAutospacing="0"/>
        <w:rPr>
          <w:rFonts w:ascii="Arial" w:hAnsi="Arial" w:cs="Arial"/>
          <w:color w:val="365F91" w:themeColor="accent1" w:themeShade="BF"/>
        </w:rPr>
      </w:pPr>
      <w:r w:rsidRPr="00F31DDE">
        <w:rPr>
          <w:rFonts w:ascii="Arial" w:hAnsi="Arial" w:cs="Arial"/>
          <w:b/>
          <w:color w:val="365F91" w:themeColor="accent1" w:themeShade="BF"/>
        </w:rPr>
        <w:t>Сергей Яковлев</w:t>
      </w:r>
      <w:r w:rsidRPr="00F31DDE">
        <w:rPr>
          <w:rFonts w:ascii="Arial" w:hAnsi="Arial" w:cs="Arial"/>
          <w:color w:val="365F91" w:themeColor="accent1" w:themeShade="BF"/>
        </w:rPr>
        <w:t>, заместитель  генерального директора информационной группы Интерфакс</w:t>
      </w:r>
    </w:p>
    <w:p w:rsidR="0052742C" w:rsidRPr="0052742C" w:rsidRDefault="0052742C" w:rsidP="00F31DDE">
      <w:pPr>
        <w:pStyle w:val="a8"/>
        <w:spacing w:before="120" w:beforeAutospacing="0" w:after="120" w:afterAutospacing="0"/>
        <w:rPr>
          <w:rFonts w:ascii="Arial" w:hAnsi="Arial" w:cs="Arial"/>
          <w:color w:val="365F91" w:themeColor="accent1" w:themeShade="BF"/>
        </w:rPr>
      </w:pPr>
      <w:r w:rsidRPr="0052742C">
        <w:rPr>
          <w:rFonts w:ascii="Arial" w:hAnsi="Arial" w:cs="Arial"/>
          <w:b/>
          <w:color w:val="365F91" w:themeColor="accent1" w:themeShade="BF"/>
        </w:rPr>
        <w:t xml:space="preserve">Владимир </w:t>
      </w:r>
      <w:proofErr w:type="spellStart"/>
      <w:r w:rsidRPr="0052742C">
        <w:rPr>
          <w:rFonts w:ascii="Arial" w:hAnsi="Arial" w:cs="Arial"/>
          <w:b/>
          <w:color w:val="365F91" w:themeColor="accent1" w:themeShade="BF"/>
        </w:rPr>
        <w:t>Козинец</w:t>
      </w:r>
      <w:proofErr w:type="spellEnd"/>
      <w:r w:rsidRPr="0052742C">
        <w:rPr>
          <w:rFonts w:ascii="Arial" w:hAnsi="Arial" w:cs="Arial"/>
          <w:color w:val="365F91" w:themeColor="accent1" w:themeShade="BF"/>
        </w:rPr>
        <w:t>, президент Ассоциации корпоративных казначеев</w:t>
      </w:r>
    </w:p>
    <w:p w:rsidR="00F31DDE" w:rsidRPr="0052742C" w:rsidRDefault="0052742C" w:rsidP="0052742C">
      <w:pPr>
        <w:pStyle w:val="a8"/>
        <w:spacing w:before="120" w:beforeAutospacing="0" w:after="120" w:afterAutospacing="0"/>
        <w:rPr>
          <w:rFonts w:ascii="Arial" w:hAnsi="Arial" w:cs="Arial"/>
          <w:color w:val="365F91" w:themeColor="accent1" w:themeShade="BF"/>
        </w:rPr>
      </w:pPr>
      <w:r w:rsidRPr="0052742C">
        <w:rPr>
          <w:rFonts w:ascii="Arial" w:hAnsi="Arial" w:cs="Arial"/>
          <w:b/>
          <w:color w:val="365F91" w:themeColor="accent1" w:themeShade="BF"/>
        </w:rPr>
        <w:t>Алексей Мамонтов</w:t>
      </w:r>
      <w:r w:rsidR="00F26B0D">
        <w:rPr>
          <w:rFonts w:ascii="Arial" w:hAnsi="Arial" w:cs="Arial"/>
          <w:color w:val="365F91" w:themeColor="accent1" w:themeShade="BF"/>
        </w:rPr>
        <w:t>, президент ММВА</w:t>
      </w:r>
      <w:bookmarkStart w:id="0" w:name="_GoBack"/>
      <w:bookmarkEnd w:id="0"/>
    </w:p>
    <w:sectPr w:rsidR="00F31DDE" w:rsidRPr="0052742C" w:rsidSect="002A6C81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8E"/>
    <w:multiLevelType w:val="multilevel"/>
    <w:tmpl w:val="257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E6F29"/>
    <w:multiLevelType w:val="hybridMultilevel"/>
    <w:tmpl w:val="09880B2A"/>
    <w:lvl w:ilvl="0" w:tplc="793C85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7241D"/>
    <w:multiLevelType w:val="hybridMultilevel"/>
    <w:tmpl w:val="2E92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67D9"/>
    <w:multiLevelType w:val="hybridMultilevel"/>
    <w:tmpl w:val="831C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6244"/>
    <w:multiLevelType w:val="hybridMultilevel"/>
    <w:tmpl w:val="06B4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96583"/>
    <w:multiLevelType w:val="hybridMultilevel"/>
    <w:tmpl w:val="306E632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79905CFD"/>
    <w:multiLevelType w:val="hybridMultilevel"/>
    <w:tmpl w:val="2ACA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42918"/>
    <w:rsid w:val="00037393"/>
    <w:rsid w:val="00043F8D"/>
    <w:rsid w:val="001508F6"/>
    <w:rsid w:val="00192C0A"/>
    <w:rsid w:val="001A7103"/>
    <w:rsid w:val="001D50A8"/>
    <w:rsid w:val="001E7783"/>
    <w:rsid w:val="002A6C81"/>
    <w:rsid w:val="002F6111"/>
    <w:rsid w:val="003817FD"/>
    <w:rsid w:val="003D654F"/>
    <w:rsid w:val="00470705"/>
    <w:rsid w:val="00477E22"/>
    <w:rsid w:val="004A7F8F"/>
    <w:rsid w:val="004F18C0"/>
    <w:rsid w:val="0052742C"/>
    <w:rsid w:val="00540373"/>
    <w:rsid w:val="0059439E"/>
    <w:rsid w:val="00594CA1"/>
    <w:rsid w:val="005D5EE0"/>
    <w:rsid w:val="005E58EC"/>
    <w:rsid w:val="00605DB2"/>
    <w:rsid w:val="006A5548"/>
    <w:rsid w:val="008676A5"/>
    <w:rsid w:val="009F555F"/>
    <w:rsid w:val="00A23E21"/>
    <w:rsid w:val="00AC338F"/>
    <w:rsid w:val="00AF0F15"/>
    <w:rsid w:val="00BD3A3C"/>
    <w:rsid w:val="00C754B7"/>
    <w:rsid w:val="00C75EC5"/>
    <w:rsid w:val="00D62757"/>
    <w:rsid w:val="00D801E2"/>
    <w:rsid w:val="00DB4AF3"/>
    <w:rsid w:val="00DC1E71"/>
    <w:rsid w:val="00E3232F"/>
    <w:rsid w:val="00E42918"/>
    <w:rsid w:val="00E841E5"/>
    <w:rsid w:val="00EA26FD"/>
    <w:rsid w:val="00F13B41"/>
    <w:rsid w:val="00F26B0D"/>
    <w:rsid w:val="00F31DDE"/>
    <w:rsid w:val="00F5017B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DB2"/>
    <w:rPr>
      <w:color w:val="0000FF"/>
      <w:u w:val="single"/>
    </w:rPr>
  </w:style>
  <w:style w:type="table" w:styleId="a4">
    <w:name w:val="Table Grid"/>
    <w:basedOn w:val="a1"/>
    <w:uiPriority w:val="59"/>
    <w:rsid w:val="001D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FD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DC1E71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a7">
    <w:name w:val="List Paragraph"/>
    <w:basedOn w:val="a"/>
    <w:uiPriority w:val="34"/>
    <w:qFormat/>
    <w:rsid w:val="00DC1E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A710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DB2"/>
    <w:rPr>
      <w:color w:val="0000FF"/>
      <w:u w:val="single"/>
    </w:rPr>
  </w:style>
  <w:style w:type="table" w:styleId="a4">
    <w:name w:val="Table Grid"/>
    <w:basedOn w:val="a1"/>
    <w:uiPriority w:val="59"/>
    <w:rsid w:val="001D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A43EF-B8BC-457D-9B1D-C4D5CF85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MochalovVV</cp:lastModifiedBy>
  <cp:revision>6</cp:revision>
  <cp:lastPrinted>2016-04-25T08:10:00Z</cp:lastPrinted>
  <dcterms:created xsi:type="dcterms:W3CDTF">2016-04-15T12:59:00Z</dcterms:created>
  <dcterms:modified xsi:type="dcterms:W3CDTF">2016-04-25T10:03:00Z</dcterms:modified>
</cp:coreProperties>
</file>