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81B" w:rsidRPr="00406048" w:rsidRDefault="00F2381B" w:rsidP="00F2381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70C0"/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95B156" wp14:editId="43C0EBBC">
            <wp:simplePos x="0" y="0"/>
            <wp:positionH relativeFrom="column">
              <wp:posOffset>-94615</wp:posOffset>
            </wp:positionH>
            <wp:positionV relativeFrom="paragraph">
              <wp:posOffset>-193675</wp:posOffset>
            </wp:positionV>
            <wp:extent cx="704850" cy="680085"/>
            <wp:effectExtent l="0" t="0" r="0" b="5715"/>
            <wp:wrapSquare wrapText="bothSides"/>
            <wp:docPr id="1" name="Рисунок 1" descr="LOG-RSPP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-RSPP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48">
        <w:rPr>
          <w:rFonts w:ascii="Times New Roman" w:eastAsia="Times New Roman" w:hAnsi="Times New Roman" w:cs="Times New Roman"/>
          <w:b/>
          <w:bCs/>
          <w:caps/>
          <w:color w:val="0070C0"/>
          <w:sz w:val="20"/>
          <w:szCs w:val="20"/>
          <w:lang w:eastAsia="ru-RU"/>
        </w:rPr>
        <w:t>Российский союз промышленников и предпринимателей</w:t>
      </w:r>
    </w:p>
    <w:p w:rsidR="00F2381B" w:rsidRPr="00406048" w:rsidRDefault="00F2381B" w:rsidP="00F2381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70C0"/>
          <w:sz w:val="20"/>
          <w:szCs w:val="20"/>
          <w:lang w:eastAsia="ru-RU"/>
        </w:rPr>
      </w:pPr>
      <w:r w:rsidRPr="00406048">
        <w:rPr>
          <w:rFonts w:ascii="Times New Roman" w:eastAsia="Times New Roman" w:hAnsi="Times New Roman" w:cs="Times New Roman"/>
          <w:b/>
          <w:bCs/>
          <w:caps/>
          <w:color w:val="0070C0"/>
          <w:sz w:val="20"/>
          <w:szCs w:val="20"/>
          <w:lang w:eastAsia="ru-RU"/>
        </w:rPr>
        <w:t>Комитет по корпоративной социальноЙ ответственности</w:t>
      </w:r>
    </w:p>
    <w:p w:rsidR="00F2381B" w:rsidRPr="00406048" w:rsidRDefault="00F2381B" w:rsidP="00F2381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70C0"/>
          <w:sz w:val="20"/>
          <w:szCs w:val="20"/>
          <w:lang w:eastAsia="ru-RU"/>
        </w:rPr>
      </w:pPr>
      <w:r w:rsidRPr="00406048">
        <w:rPr>
          <w:rFonts w:ascii="Times New Roman" w:eastAsia="Times New Roman" w:hAnsi="Times New Roman" w:cs="Times New Roman"/>
          <w:b/>
          <w:bCs/>
          <w:caps/>
          <w:color w:val="0070C0"/>
          <w:sz w:val="20"/>
          <w:szCs w:val="20"/>
          <w:lang w:eastAsia="ru-RU"/>
        </w:rPr>
        <w:t>и демографической политике</w:t>
      </w:r>
    </w:p>
    <w:p w:rsidR="00F2381B" w:rsidRPr="00406048" w:rsidRDefault="00F2381B" w:rsidP="00F2381B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0604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06048" w:rsidRDefault="00F2381B" w:rsidP="00F2381B">
      <w:pPr>
        <w:keepNext/>
        <w:spacing w:after="0" w:line="240" w:lineRule="auto"/>
        <w:rPr>
          <w:rFonts w:ascii="Times New Roman" w:eastAsia="Times New Roman" w:hAnsi="Times New Roman" w:cs="Times New Roman"/>
          <w:bCs/>
          <w:caps/>
          <w:color w:val="365F91"/>
          <w:lang w:eastAsia="ru-RU"/>
        </w:rPr>
      </w:pPr>
      <w:r w:rsidRPr="00406048">
        <w:rPr>
          <w:rFonts w:ascii="Times New Roman" w:eastAsia="Times New Roman" w:hAnsi="Times New Roman" w:cs="Times New Roman"/>
          <w:bCs/>
          <w:caps/>
          <w:color w:val="365F91"/>
          <w:lang w:eastAsia="ru-RU"/>
        </w:rPr>
        <w:tab/>
      </w:r>
      <w:r w:rsidRPr="00406048">
        <w:rPr>
          <w:rFonts w:ascii="Times New Roman" w:eastAsia="Times New Roman" w:hAnsi="Times New Roman" w:cs="Times New Roman"/>
          <w:bCs/>
          <w:caps/>
          <w:color w:val="365F91"/>
          <w:lang w:eastAsia="ru-RU"/>
        </w:rPr>
        <w:tab/>
      </w:r>
      <w:r w:rsidRPr="00406048">
        <w:rPr>
          <w:rFonts w:ascii="Times New Roman" w:eastAsia="Times New Roman" w:hAnsi="Times New Roman" w:cs="Times New Roman"/>
          <w:bCs/>
          <w:caps/>
          <w:color w:val="365F91"/>
          <w:lang w:eastAsia="ru-RU"/>
        </w:rPr>
        <w:tab/>
      </w:r>
      <w:r w:rsidRPr="00406048">
        <w:rPr>
          <w:rFonts w:ascii="Times New Roman" w:eastAsia="Times New Roman" w:hAnsi="Times New Roman" w:cs="Times New Roman"/>
          <w:bCs/>
          <w:caps/>
          <w:color w:val="365F91"/>
          <w:lang w:eastAsia="ru-RU"/>
        </w:rPr>
        <w:tab/>
      </w:r>
      <w:r w:rsidRPr="00406048">
        <w:rPr>
          <w:rFonts w:ascii="Times New Roman" w:eastAsia="Times New Roman" w:hAnsi="Times New Roman" w:cs="Times New Roman"/>
          <w:bCs/>
          <w:caps/>
          <w:color w:val="365F91"/>
          <w:lang w:eastAsia="ru-RU"/>
        </w:rPr>
        <w:tab/>
      </w:r>
      <w:r w:rsidR="003E3BF5" w:rsidRPr="00406048">
        <w:rPr>
          <w:rFonts w:ascii="Times New Roman" w:eastAsia="Times New Roman" w:hAnsi="Times New Roman" w:cs="Times New Roman"/>
          <w:bCs/>
          <w:caps/>
          <w:color w:val="365F91"/>
          <w:lang w:eastAsia="ru-RU"/>
        </w:rPr>
        <w:t xml:space="preserve">                                                       </w:t>
      </w:r>
    </w:p>
    <w:p w:rsidR="00406048" w:rsidRDefault="00406048" w:rsidP="00F2381B">
      <w:pPr>
        <w:keepNext/>
        <w:spacing w:after="0" w:line="240" w:lineRule="auto"/>
        <w:rPr>
          <w:rFonts w:ascii="Times New Roman" w:eastAsia="Times New Roman" w:hAnsi="Times New Roman" w:cs="Times New Roman"/>
          <w:bCs/>
          <w:caps/>
          <w:color w:val="365F91"/>
          <w:lang w:eastAsia="ru-RU"/>
        </w:rPr>
      </w:pPr>
    </w:p>
    <w:p w:rsidR="00914B5F" w:rsidRDefault="00406048" w:rsidP="00914B5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 w:rsidRPr="00406048">
        <w:rPr>
          <w:rFonts w:ascii="Times New Roman" w:eastAsia="Times New Roman" w:hAnsi="Times New Roman" w:cs="Times New Roman"/>
          <w:bCs/>
          <w:i/>
          <w:caps/>
          <w:color w:val="365F91"/>
          <w:sz w:val="24"/>
          <w:szCs w:val="24"/>
          <w:lang w:eastAsia="ru-RU"/>
        </w:rPr>
        <w:t xml:space="preserve">      </w:t>
      </w:r>
      <w:r w:rsidR="003E3BF5" w:rsidRPr="00406048">
        <w:rPr>
          <w:rFonts w:ascii="Times New Roman" w:eastAsia="Times New Roman" w:hAnsi="Times New Roman" w:cs="Times New Roman"/>
          <w:bCs/>
          <w:i/>
          <w:caps/>
          <w:color w:val="365F91"/>
          <w:sz w:val="24"/>
          <w:szCs w:val="24"/>
          <w:lang w:eastAsia="ru-RU"/>
        </w:rPr>
        <w:t xml:space="preserve"> </w:t>
      </w:r>
      <w:r w:rsidR="00914B5F">
        <w:rPr>
          <w:rFonts w:ascii="Times New Roman" w:hAnsi="Times New Roman" w:cs="Times New Roman"/>
        </w:rPr>
        <w:t xml:space="preserve">Приложение </w:t>
      </w:r>
    </w:p>
    <w:p w:rsidR="00914B5F" w:rsidRDefault="00914B5F" w:rsidP="00914B5F">
      <w:pPr>
        <w:spacing w:after="0" w:line="240" w:lineRule="auto"/>
        <w:ind w:left="495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Комитета РСПП от 25.12.2013 г.     </w:t>
      </w:r>
    </w:p>
    <w:p w:rsidR="00914B5F" w:rsidRDefault="00914B5F" w:rsidP="00914B5F">
      <w:pPr>
        <w:keepNext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aps/>
          <w:color w:val="365F9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aps/>
          <w:color w:val="365F9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aps/>
          <w:color w:val="365F9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aps/>
          <w:color w:val="365F9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aps/>
          <w:color w:val="365F91"/>
          <w:sz w:val="28"/>
          <w:szCs w:val="28"/>
          <w:lang w:eastAsia="ru-RU"/>
        </w:rPr>
        <w:tab/>
      </w:r>
    </w:p>
    <w:p w:rsidR="00102D06" w:rsidRDefault="00102D06" w:rsidP="00914B5F">
      <w:pPr>
        <w:keepNext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14B5F" w:rsidRPr="00914B5F" w:rsidRDefault="00914B5F" w:rsidP="00914B5F">
      <w:pPr>
        <w:keepNext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914B5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Заключение</w:t>
      </w:r>
    </w:p>
    <w:p w:rsidR="00914B5F" w:rsidRDefault="00914B5F" w:rsidP="00914B5F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14B5F">
        <w:rPr>
          <w:rFonts w:ascii="Times New Roman" w:hAnsi="Times New Roman" w:cs="Times New Roman"/>
          <w:b/>
          <w:bCs/>
          <w:sz w:val="24"/>
          <w:szCs w:val="24"/>
        </w:rPr>
        <w:t xml:space="preserve">на проект </w:t>
      </w:r>
      <w:r w:rsidRPr="00914B5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Концепции развития публичной нефинансовой отчетности </w:t>
      </w:r>
    </w:p>
    <w:p w:rsidR="00914B5F" w:rsidRPr="00914B5F" w:rsidRDefault="00914B5F" w:rsidP="00914B5F">
      <w:pPr>
        <w:keepNext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14B5F">
        <w:rPr>
          <w:rFonts w:ascii="Times New Roman" w:hAnsi="Times New Roman" w:cs="Times New Roman"/>
          <w:b/>
          <w:bCs/>
          <w:iCs/>
          <w:sz w:val="24"/>
          <w:szCs w:val="24"/>
        </w:rPr>
        <w:t>в Российской Федерации на среднесрочную перспективу</w:t>
      </w:r>
    </w:p>
    <w:p w:rsidR="00914B5F" w:rsidRPr="00914B5F" w:rsidRDefault="00914B5F" w:rsidP="00914B5F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14B5F" w:rsidRDefault="00914B5F" w:rsidP="00914B5F">
      <w:pPr>
        <w:keepNext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77CFE" w:rsidRPr="00477CFE" w:rsidRDefault="00477CFE" w:rsidP="00477CFE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CFE">
        <w:rPr>
          <w:rFonts w:ascii="Times New Roman" w:hAnsi="Times New Roman" w:cs="Times New Roman"/>
          <w:sz w:val="24"/>
          <w:szCs w:val="24"/>
        </w:rPr>
        <w:t xml:space="preserve">Комитет РСПП по корпоративной социальной ответственности и демографической политике   совместно с  Советом РСПП по нефинансовой отчетности обсудили проект Концепции развития публичной нефинансовой отчетности в Российской Федерации на среднесрочную перспективу, подготовленный Министерством экономического развития Российской Федерации. </w:t>
      </w:r>
    </w:p>
    <w:p w:rsidR="00477CFE" w:rsidRPr="00477CFE" w:rsidRDefault="00477CFE" w:rsidP="00477CFE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7CFE" w:rsidRPr="00477CFE" w:rsidRDefault="00477CFE" w:rsidP="00477CFE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CFE">
        <w:rPr>
          <w:rFonts w:ascii="Times New Roman" w:hAnsi="Times New Roman" w:cs="Times New Roman"/>
          <w:sz w:val="24"/>
          <w:szCs w:val="24"/>
        </w:rPr>
        <w:t xml:space="preserve">Члены Комитета и Совета отмечают, что в целом Концепция отвечает современным мировым тенденциям развития публичной отчетности и вызовам, связанным с общественным ожиданием повышения информационной открытости деятельности организаций, особенно, организаций, полностью или частично находящихся в собственности государства. </w:t>
      </w:r>
    </w:p>
    <w:p w:rsidR="00477CFE" w:rsidRPr="00477CFE" w:rsidRDefault="00477CFE" w:rsidP="00477CFE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7CFE" w:rsidRPr="00477CFE" w:rsidRDefault="00477CFE" w:rsidP="0047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CFE">
        <w:rPr>
          <w:rFonts w:ascii="Times New Roman" w:eastAsia="Calibri" w:hAnsi="Times New Roman" w:cs="Times New Roman"/>
          <w:sz w:val="24"/>
          <w:szCs w:val="24"/>
        </w:rPr>
        <w:t xml:space="preserve">Из Концепции следует, что основные её положения опираются на нормы  российских законодательных актов, положения международных и российских стандартов и рекомендаций в </w:t>
      </w:r>
      <w:r w:rsidRPr="00477CFE">
        <w:rPr>
          <w:rFonts w:ascii="Times New Roman" w:hAnsi="Times New Roman" w:cs="Times New Roman"/>
          <w:sz w:val="24"/>
          <w:szCs w:val="24"/>
        </w:rPr>
        <w:t>сфере социальной ответственности и отчетности.  В их числе указаны, что важно отметить, разработанные по инициативе Комитета РСПП по корпоративной социальной ответственности и демографической политике и утвержденные Бюро Правления РСПП документы, которые широко применяются в деловой практике ответственных компаний: Социальная хартия российского бизнеса</w:t>
      </w:r>
      <w:r w:rsidRPr="00477CFE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477CFE">
        <w:rPr>
          <w:rFonts w:ascii="Times New Roman" w:hAnsi="Times New Roman" w:cs="Times New Roman"/>
          <w:sz w:val="24"/>
          <w:szCs w:val="24"/>
        </w:rPr>
        <w:t xml:space="preserve">, «Базовые индикаторы результативности: рекомендации по использованию в практике управления и корпоративной нефинансовой отчетности», «Рекомендации по проведению самооценки организации деятельности компании в соответствии с принципами социальной ответственности на основе положений международного стандарта ISO 26000:2010». </w:t>
      </w:r>
    </w:p>
    <w:p w:rsidR="00477CFE" w:rsidRPr="00477CFE" w:rsidRDefault="00477CFE" w:rsidP="00477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CFE" w:rsidRPr="00477CFE" w:rsidRDefault="00477CFE" w:rsidP="0047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CFE">
        <w:rPr>
          <w:rFonts w:ascii="Times New Roman" w:hAnsi="Times New Roman" w:cs="Times New Roman"/>
          <w:sz w:val="24"/>
          <w:szCs w:val="24"/>
        </w:rPr>
        <w:t>Проект Концепции нацеливает организации на повышение информационной открытости и прозрачности деятельности через расширение использования такого инструмента, как публичная нефинансовая отчетность (ПНО).  При подготовке ПНО рекомендуется использовать международные разработки -  «Руководство по отчетности в области устойчивого развития»  GRI, раскрывать информацию по ключевым результатам деятельности организаций, включая  экономические, экологические и социальные аспекты.</w:t>
      </w:r>
    </w:p>
    <w:p w:rsidR="00477CFE" w:rsidRPr="00477CFE" w:rsidRDefault="00477CFE" w:rsidP="00477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7CFE" w:rsidRPr="00477CFE" w:rsidRDefault="00477CFE" w:rsidP="0047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CFE">
        <w:rPr>
          <w:rFonts w:ascii="Times New Roman" w:eastAsia="Calibri" w:hAnsi="Times New Roman" w:cs="Times New Roman"/>
          <w:sz w:val="24"/>
          <w:szCs w:val="24"/>
        </w:rPr>
        <w:lastRenderedPageBreak/>
        <w:t>Проект Концепции ПНО формировался на основе учета сложившейся в России практики компаний</w:t>
      </w:r>
      <w:r w:rsidRPr="00477CFE">
        <w:rPr>
          <w:rFonts w:ascii="Times New Roman" w:hAnsi="Times New Roman" w:cs="Times New Roman"/>
          <w:sz w:val="24"/>
          <w:szCs w:val="24"/>
        </w:rPr>
        <w:t>, которые когда-либо на добровольной основе выпускали нефинансовые отчеты. Учитывалась также распространенная практика подготовки годовых корпоративных отчетов, выпуск которых является обязательным требованием  только для акционерных обществ.</w:t>
      </w:r>
    </w:p>
    <w:p w:rsidR="00477CFE" w:rsidRPr="00477CFE" w:rsidRDefault="00477CFE" w:rsidP="00477C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7CFE" w:rsidRPr="00477CFE" w:rsidRDefault="00477CFE" w:rsidP="0047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CFE">
        <w:rPr>
          <w:rFonts w:ascii="Times New Roman" w:hAnsi="Times New Roman" w:cs="Times New Roman"/>
          <w:sz w:val="24"/>
          <w:szCs w:val="24"/>
        </w:rPr>
        <w:t xml:space="preserve">Документ предусматривает поэтапное введение для определенного круга организаций, прежде всего с государственным участием, обязательной публичной отчетности в форме либо нефинансового отчета, либо годового отчета в расширенном формате, либо интегрированного отчета (первый опыт </w:t>
      </w:r>
      <w:proofErr w:type="gramStart"/>
      <w:r w:rsidRPr="00477CFE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477CFE">
        <w:rPr>
          <w:rFonts w:ascii="Times New Roman" w:hAnsi="Times New Roman" w:cs="Times New Roman"/>
          <w:sz w:val="24"/>
          <w:szCs w:val="24"/>
        </w:rPr>
        <w:t xml:space="preserve"> которых в пилотном режиме в мировой и российской практике уже существует).  Тем самым получает развитие инициатива Правительства Российской Федерации, в соответствии с которой были определены 22 организации из числа  крупнейших государственных корпораций и компаний со значительной долей государственного участия, которым предписывалась регулярная публикация нефинансовых отчетов (Директива Председателя Правительства РФ от 30.03.2012 </w:t>
      </w:r>
      <w:r w:rsidRPr="00477CF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77CFE">
        <w:rPr>
          <w:rFonts w:ascii="Times New Roman" w:hAnsi="Times New Roman" w:cs="Times New Roman"/>
          <w:sz w:val="24"/>
          <w:szCs w:val="24"/>
        </w:rPr>
        <w:t xml:space="preserve"> 1710п-П13). </w:t>
      </w:r>
    </w:p>
    <w:p w:rsidR="00477CFE" w:rsidRPr="00477CFE" w:rsidRDefault="00477CFE" w:rsidP="00477CF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77CFE" w:rsidRPr="00477CFE" w:rsidRDefault="00477CFE" w:rsidP="00477C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CFE">
        <w:rPr>
          <w:rFonts w:ascii="Times New Roman" w:hAnsi="Times New Roman" w:cs="Times New Roman"/>
          <w:sz w:val="24"/>
          <w:szCs w:val="24"/>
        </w:rPr>
        <w:t xml:space="preserve">В ходе подготовки  проект Концепции претерпел существенные изменения, стал более компактным и взвешенным, учтен ряд принципиальных замечаний членов межведомственной рабочей группы, а также представителей рабочих органов РСПП, принимавших участие в обсуждении рабочих версий документа на этапах его разработки.  В частности, улучшена структура документа, </w:t>
      </w:r>
      <w:proofErr w:type="gramStart"/>
      <w:r w:rsidRPr="00477CFE">
        <w:rPr>
          <w:rFonts w:ascii="Times New Roman" w:hAnsi="Times New Roman" w:cs="Times New Roman"/>
          <w:sz w:val="24"/>
          <w:szCs w:val="24"/>
        </w:rPr>
        <w:t>ограничен круг и  введены</w:t>
      </w:r>
      <w:proofErr w:type="gramEnd"/>
      <w:r w:rsidRPr="00477CFE">
        <w:rPr>
          <w:rFonts w:ascii="Times New Roman" w:hAnsi="Times New Roman" w:cs="Times New Roman"/>
          <w:sz w:val="24"/>
          <w:szCs w:val="24"/>
        </w:rPr>
        <w:t xml:space="preserve"> критерии определения организаций, для которых на каждом этапе предлагается вводить требование обязательной публичной нефинансовой отчетности, обозначена, хотя и недостаточно отчетливо, необходимость формирования минимального перечня обязательных к раскрытию показателей, уточнены этапы реализации Концепции и др. </w:t>
      </w:r>
    </w:p>
    <w:p w:rsidR="00477CFE" w:rsidRPr="00477CFE" w:rsidRDefault="00477CFE" w:rsidP="00477CFE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7CFE" w:rsidRPr="00477CFE" w:rsidRDefault="00477CFE" w:rsidP="00477CFE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CFE">
        <w:rPr>
          <w:rFonts w:ascii="Times New Roman" w:hAnsi="Times New Roman" w:cs="Times New Roman"/>
          <w:sz w:val="24"/>
          <w:szCs w:val="24"/>
        </w:rPr>
        <w:t xml:space="preserve">Отмечая достигнутый прогресс, члены Комитета и Совета обращают внимание на ряд связанных с введением обязательной отчетности вопросов и опасений, которые остаются актуальными, и на которые проект Концепции не дает полных ответов. </w:t>
      </w:r>
      <w:proofErr w:type="gramStart"/>
      <w:r w:rsidRPr="00477CFE">
        <w:rPr>
          <w:rFonts w:ascii="Times New Roman" w:hAnsi="Times New Roman" w:cs="Times New Roman"/>
          <w:sz w:val="24"/>
          <w:szCs w:val="24"/>
        </w:rPr>
        <w:t>Существует риск, что форсированное внедрение ПНО без учета реальных условий и возможностей, массовое вовлечение в этот процесс неподготовленных компаний (например,  из числа  государственных и муниципальных унитарных предприятий или недавно образованных на их основе акционерных обществ)</w:t>
      </w:r>
      <w:r w:rsidRPr="00477CFE">
        <w:rPr>
          <w:rFonts w:ascii="Times New Roman" w:eastAsiaTheme="minorEastAsia" w:hAnsi="Times New Roman" w:cs="Times New Roman"/>
          <w:b/>
          <w:bCs/>
          <w:color w:val="FFFFFF" w:themeColor="light1"/>
          <w:kern w:val="24"/>
          <w:sz w:val="24"/>
          <w:szCs w:val="24"/>
        </w:rPr>
        <w:t xml:space="preserve"> </w:t>
      </w:r>
      <w:r w:rsidRPr="00477CFE">
        <w:rPr>
          <w:rFonts w:ascii="Times New Roman" w:hAnsi="Times New Roman" w:cs="Times New Roman"/>
          <w:sz w:val="24"/>
          <w:szCs w:val="24"/>
        </w:rPr>
        <w:t>может привести к превращению отчетов в формальный продукт, к профанации самой идеи отчетности как инструмента управления и средства коммуникации с заинтересованными сторонами.</w:t>
      </w:r>
      <w:proofErr w:type="gramEnd"/>
      <w:r w:rsidRPr="00477CFE">
        <w:rPr>
          <w:rFonts w:ascii="Times New Roman" w:hAnsi="Times New Roman" w:cs="Times New Roman"/>
          <w:sz w:val="24"/>
          <w:szCs w:val="24"/>
        </w:rPr>
        <w:t xml:space="preserve"> Неопределенность требований по обязательному раскрытию информации, отсутствие очерченного круга показателей не обеспечит решение поставленных задач, для решения которых разрабатывается Концепция (сопоставимость сведений по важному для государства кругу вопросов и приоритетным темам, наблюдаемость процессов на всех уровнях, повышение экологической ответственности и пр.).</w:t>
      </w:r>
    </w:p>
    <w:p w:rsidR="00477CFE" w:rsidRPr="00477CFE" w:rsidRDefault="00477CFE" w:rsidP="00477CFE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CFE" w:rsidRPr="00477CFE" w:rsidRDefault="00477CFE" w:rsidP="00477CFE">
      <w:pPr>
        <w:keepNext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477CFE">
        <w:rPr>
          <w:rFonts w:ascii="Times New Roman" w:hAnsi="Times New Roman" w:cs="Times New Roman"/>
          <w:sz w:val="24"/>
          <w:szCs w:val="24"/>
        </w:rPr>
        <w:t xml:space="preserve"> В этой связи  представляется важным о</w:t>
      </w:r>
      <w:r w:rsidRPr="00477CF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тметить, что ряд позиций требует более четкого обозначения и уточнения в тексте Концепции с указанием на последующее их развернутое описание в документах, разрабатываемых в дальнейшем в целях реализации Концепции и в её развитие: </w:t>
      </w:r>
    </w:p>
    <w:p w:rsidR="00477CFE" w:rsidRPr="00477CFE" w:rsidRDefault="00477CFE" w:rsidP="00477C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77CF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   постановка вопроса о необходимости определения состава и описания расчета ключевых (базовых) экономических, экологических и социальных показателей (общих и  учитывающих отраслевую специфику), в отношении которых выдвигается требование обязательного раскрытия, что обеспечивает их сопоставимость, а также будет служить переходным этапом к внедрению практики обязательной отчетности для расширяющегося  круга организаций;</w:t>
      </w:r>
    </w:p>
    <w:p w:rsidR="00477CFE" w:rsidRPr="00477CFE" w:rsidRDefault="00477CFE" w:rsidP="00477C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477CFE" w:rsidRPr="00477CFE" w:rsidRDefault="00477CFE" w:rsidP="00477CFE">
      <w:pPr>
        <w:spacing w:after="0" w:line="240" w:lineRule="auto"/>
        <w:ind w:firstLine="636"/>
        <w:jc w:val="both"/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</w:pPr>
      <w:r w:rsidRPr="00477CF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-   </w:t>
      </w:r>
      <w:r w:rsidRPr="00477CF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>уточнение 4-го этапа реализации Концепции, имея в виду следующее:</w:t>
      </w:r>
    </w:p>
    <w:p w:rsidR="00477CFE" w:rsidRPr="00477CFE" w:rsidRDefault="00477CFE" w:rsidP="00477CF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77CF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изменение подхода в отношении частных компаний и организаций с долей государственного участия менее 50%, для которых предусматривать  </w:t>
      </w:r>
      <w:r w:rsidRPr="00477CFE">
        <w:rPr>
          <w:rFonts w:ascii="Times New Roman" w:eastAsiaTheme="minorEastAsia" w:hAnsi="Times New Roman" w:cs="Times New Roman"/>
          <w:bCs/>
          <w:kern w:val="24"/>
          <w:sz w:val="24"/>
          <w:szCs w:val="24"/>
          <w:u w:val="single"/>
          <w:lang w:eastAsia="ru-RU"/>
        </w:rPr>
        <w:t xml:space="preserve">рекомендательный, а не обязательный </w:t>
      </w:r>
      <w:r w:rsidRPr="00477CF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характер ПНО, при этом сделать акцент на </w:t>
      </w:r>
      <w:r w:rsidRPr="00477CFE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внедрение  мер, побуждающих эти организации такую практику применять (воздействие через Советы директоров, финансовые институты, Московскую биржу и пр.); </w:t>
      </w:r>
      <w:r w:rsidRPr="00477CF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</w:t>
      </w:r>
    </w:p>
    <w:p w:rsidR="00477CFE" w:rsidRPr="00477CFE" w:rsidRDefault="00477CFE" w:rsidP="00477CF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477CFE" w:rsidRPr="00477CFE" w:rsidRDefault="00477CFE" w:rsidP="00477CF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CF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распространение только на обязательные к раскрытию показатели требования обязательной независимой проверки и </w:t>
      </w:r>
      <w:proofErr w:type="gramStart"/>
      <w:r w:rsidRPr="00477CF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заверения</w:t>
      </w:r>
      <w:proofErr w:type="gramEnd"/>
      <w:r w:rsidRPr="00477CF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отчетной информации, введение которого предусмотрено на 4-ом этапе, в отношении остальной информации должен действовать рекомендательный характер, вопрос о заверении следует оставлять на усмотрение самих компаний;</w:t>
      </w:r>
    </w:p>
    <w:p w:rsidR="00477CFE" w:rsidRPr="00477CFE" w:rsidRDefault="00477CFE" w:rsidP="0047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FE" w:rsidRPr="00477CFE" w:rsidRDefault="00477CFE" w:rsidP="00477CFE">
      <w:pPr>
        <w:spacing w:after="0" w:line="240" w:lineRule="auto"/>
        <w:ind w:firstLine="636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77CF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  усиление фокуса на  создание условий и развитие инфраструктуры для широкого распространения ПНО (вопросы обучения и подготовки кадров, информирования, распространения опыта, методического обеспечения, стимулирования), предусмотрев при этом разработку плана мероприятий по реализации Концепции, включая организационно-методическое обеспечение, формирование нормативно-правовой базы развития ПНО;</w:t>
      </w:r>
    </w:p>
    <w:p w:rsidR="00477CFE" w:rsidRPr="00477CFE" w:rsidRDefault="00477CFE" w:rsidP="00477CFE">
      <w:pPr>
        <w:spacing w:after="0" w:line="240" w:lineRule="auto"/>
        <w:ind w:firstLine="636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477CFE" w:rsidRPr="00477CFE" w:rsidRDefault="00477CFE" w:rsidP="00477CFE">
      <w:pPr>
        <w:spacing w:after="0" w:line="240" w:lineRule="auto"/>
        <w:ind w:firstLine="636"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77CF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   включение дополнительных пояснений в отношении применимости положений Концепции к деятельности организаций, обозначенных в документе, но на которые не распространяется требование обязательной подготовки и публикации ПНО (органы государственной власти, НКО, внебюджетные фонды);</w:t>
      </w:r>
    </w:p>
    <w:p w:rsidR="00477CFE" w:rsidRPr="00477CFE" w:rsidRDefault="00477CFE" w:rsidP="00477C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FE" w:rsidRPr="00477CFE" w:rsidRDefault="00477CFE" w:rsidP="00477CF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  <w:r w:rsidRPr="00477CF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-   внесение некоторых редакционных уточнений в текст Концепции (так, указано на три этапа реализации Концепции, а фактически описываются четыре этапа, точнее следует определить цель внедрения ПНО - повышение ответственности за комплексное предоставление сведений об экономических, экологических и социальных результатах деятельности и оказываемых ею воздействиях, обеспечение большей информационной открытости</w:t>
      </w:r>
      <w:r w:rsidRPr="00477CF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). </w:t>
      </w:r>
    </w:p>
    <w:p w:rsidR="00477CFE" w:rsidRPr="00477CFE" w:rsidRDefault="00477CFE" w:rsidP="00477CF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477CFE" w:rsidRPr="00477CFE" w:rsidRDefault="00477CFE" w:rsidP="00477CF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77CF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Дополнительно Комитет информирует о начале реализации с участием РСПП проекта «Ответственность и открытость» - разработка Индекса публичной корпоративной отчетности </w:t>
      </w:r>
      <w:r w:rsidRPr="00477CFE">
        <w:rPr>
          <w:rFonts w:ascii="Times New Roman" w:eastAsia="Arial Unicode MS" w:hAnsi="Times New Roman" w:cs="Times New Roman"/>
          <w:color w:val="000000"/>
          <w:sz w:val="24"/>
          <w:szCs w:val="24"/>
        </w:rPr>
        <w:t>по вопросам социальной ответственности и устойчивого развития. Цель проекта – создание инструмента регулярного мониторинга раскрытия крупнейшими российскими компаниями информации об их вкладе в социальное благополучие и устойчивое развитие общества.</w:t>
      </w:r>
      <w:r w:rsidRPr="00477CFE">
        <w:rPr>
          <w:rFonts w:ascii="Helvetica" w:eastAsia="Arial Unicode MS" w:hAnsi="Arial Unicode MS" w:hint="eastAsia"/>
          <w:color w:val="000000"/>
        </w:rPr>
        <w:t xml:space="preserve"> </w:t>
      </w:r>
      <w:r w:rsidRPr="00477CFE">
        <w:rPr>
          <w:rFonts w:ascii="Times New Roman" w:eastAsia="Arial Unicode MS" w:hAnsi="Times New Roman" w:cs="Times New Roman"/>
          <w:color w:val="000000"/>
          <w:sz w:val="24"/>
          <w:szCs w:val="24"/>
        </w:rPr>
        <w:t>Разработка Индекса может способствовать формированию перечня показателей, раскрытие которых целесообразно рассматривать в качестве обязательных, тем самым Индекс может стать одним из инструментов внедрения Концепции публичной нефинансовой отчетности.</w:t>
      </w:r>
    </w:p>
    <w:p w:rsidR="00477CFE" w:rsidRPr="00477CFE" w:rsidRDefault="00477CFE" w:rsidP="00477CF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</w:p>
    <w:p w:rsidR="00477CFE" w:rsidRPr="00477CFE" w:rsidRDefault="00477CFE" w:rsidP="00477CF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477CFE" w:rsidRPr="00477CFE" w:rsidRDefault="00477CFE" w:rsidP="00477CF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</w:pPr>
    </w:p>
    <w:p w:rsidR="00477CFE" w:rsidRPr="00477CFE" w:rsidRDefault="00477CFE" w:rsidP="00477CF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</w:pPr>
      <w:r w:rsidRPr="00477CF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ab/>
      </w:r>
      <w:r w:rsidRPr="00477CF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ab/>
      </w:r>
      <w:r w:rsidRPr="00477CF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ab/>
      </w:r>
      <w:r w:rsidRPr="00477CF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ab/>
      </w:r>
      <w:r w:rsidRPr="00477CFE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ab/>
      </w:r>
      <w:r w:rsidRPr="00477CF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Утверждено решением Комитета 25.12 2013.г. </w:t>
      </w:r>
    </w:p>
    <w:p w:rsidR="00477CFE" w:rsidRPr="00477CFE" w:rsidRDefault="00477CFE" w:rsidP="00477C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CFE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                                                                 </w:t>
      </w:r>
    </w:p>
    <w:p w:rsidR="00F2381B" w:rsidRPr="00406048" w:rsidRDefault="00F2381B" w:rsidP="00914B5F">
      <w:pPr>
        <w:keepNext/>
        <w:spacing w:after="0" w:line="240" w:lineRule="auto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F2381B" w:rsidRPr="0040604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DE5" w:rsidRDefault="006D2DE5" w:rsidP="00705AC3">
      <w:pPr>
        <w:spacing w:after="0" w:line="240" w:lineRule="auto"/>
      </w:pPr>
      <w:r>
        <w:separator/>
      </w:r>
    </w:p>
  </w:endnote>
  <w:endnote w:type="continuationSeparator" w:id="0">
    <w:p w:rsidR="006D2DE5" w:rsidRDefault="006D2DE5" w:rsidP="0070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019731"/>
      <w:docPartObj>
        <w:docPartGallery w:val="Page Numbers (Bottom of Page)"/>
        <w:docPartUnique/>
      </w:docPartObj>
    </w:sdtPr>
    <w:sdtEndPr/>
    <w:sdtContent>
      <w:p w:rsidR="00FA2CF7" w:rsidRDefault="00FA2CF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CFE">
          <w:rPr>
            <w:noProof/>
          </w:rPr>
          <w:t>2</w:t>
        </w:r>
        <w:r>
          <w:fldChar w:fldCharType="end"/>
        </w:r>
      </w:p>
    </w:sdtContent>
  </w:sdt>
  <w:p w:rsidR="00FA2CF7" w:rsidRDefault="00FA2C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DE5" w:rsidRDefault="006D2DE5" w:rsidP="00705AC3">
      <w:pPr>
        <w:spacing w:after="0" w:line="240" w:lineRule="auto"/>
      </w:pPr>
      <w:r>
        <w:separator/>
      </w:r>
    </w:p>
  </w:footnote>
  <w:footnote w:type="continuationSeparator" w:id="0">
    <w:p w:rsidR="006D2DE5" w:rsidRDefault="006D2DE5" w:rsidP="00705AC3">
      <w:pPr>
        <w:spacing w:after="0" w:line="240" w:lineRule="auto"/>
      </w:pPr>
      <w:r>
        <w:continuationSeparator/>
      </w:r>
    </w:p>
  </w:footnote>
  <w:footnote w:id="1">
    <w:p w:rsidR="00477CFE" w:rsidRPr="00323DB2" w:rsidRDefault="00477CFE" w:rsidP="00477CFE">
      <w:pPr>
        <w:pStyle w:val="a5"/>
        <w:jc w:val="both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Pr="00323DB2">
        <w:rPr>
          <w:rFonts w:ascii="Times New Roman" w:hAnsi="Times New Roman" w:cs="Times New Roman"/>
        </w:rPr>
        <w:t>Социальная хартия российского бизнес</w:t>
      </w:r>
      <w:proofErr w:type="gramStart"/>
      <w:r w:rsidRPr="00323DB2">
        <w:rPr>
          <w:rFonts w:ascii="Times New Roman" w:hAnsi="Times New Roman" w:cs="Times New Roman"/>
        </w:rPr>
        <w:t>а-</w:t>
      </w:r>
      <w:proofErr w:type="gramEnd"/>
      <w:r w:rsidRPr="00323DB2">
        <w:rPr>
          <w:rFonts w:ascii="Times New Roman" w:hAnsi="Times New Roman" w:cs="Times New Roman"/>
        </w:rPr>
        <w:t xml:space="preserve"> свод принципов ответственной деловой практики – разработана в соответствии и в развитие Глобального Договора ООН, что зафиксировано в Национальном стандарте ГОСТ Р ИСО 26000:2012 «Руководство по социальной ответственности»</w:t>
      </w:r>
      <w:r>
        <w:rPr>
          <w:rFonts w:ascii="Times New Roman" w:hAnsi="Times New Roman" w:cs="Times New Roman"/>
        </w:rPr>
        <w:t xml:space="preserve"> </w:t>
      </w:r>
      <w:r w:rsidRPr="00323DB2">
        <w:rPr>
          <w:rFonts w:ascii="Times New Roman" w:hAnsi="Times New Roman" w:cs="Times New Roman"/>
        </w:rPr>
        <w:t xml:space="preserve">(соответствует международному стандарту </w:t>
      </w:r>
      <w:r w:rsidRPr="00323DB2">
        <w:rPr>
          <w:rFonts w:ascii="Times New Roman" w:hAnsi="Times New Roman" w:cs="Times New Roman"/>
          <w:lang w:val="en-US"/>
        </w:rPr>
        <w:t>ISO</w:t>
      </w:r>
      <w:r w:rsidRPr="00323DB2">
        <w:rPr>
          <w:rFonts w:ascii="Times New Roman" w:hAnsi="Times New Roman" w:cs="Times New Roman"/>
        </w:rPr>
        <w:t xml:space="preserve"> 26000:2010).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4C1A"/>
    <w:multiLevelType w:val="hybridMultilevel"/>
    <w:tmpl w:val="78FCDAF2"/>
    <w:lvl w:ilvl="0" w:tplc="F5C2B6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5EF434">
      <w:start w:val="873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56A9B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C05B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48F3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6035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EA3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F4EC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2ED2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2F0648"/>
    <w:multiLevelType w:val="hybridMultilevel"/>
    <w:tmpl w:val="3C2A7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0FF2C8F"/>
    <w:multiLevelType w:val="hybridMultilevel"/>
    <w:tmpl w:val="4A669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B52B3"/>
    <w:multiLevelType w:val="hybridMultilevel"/>
    <w:tmpl w:val="C798B3E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4AD3558B"/>
    <w:multiLevelType w:val="hybridMultilevel"/>
    <w:tmpl w:val="1AF8103A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81B"/>
    <w:rsid w:val="00010AA1"/>
    <w:rsid w:val="0007406E"/>
    <w:rsid w:val="000B3A70"/>
    <w:rsid w:val="000E3C3C"/>
    <w:rsid w:val="000E7193"/>
    <w:rsid w:val="000F277F"/>
    <w:rsid w:val="000F40E0"/>
    <w:rsid w:val="00102D06"/>
    <w:rsid w:val="00127443"/>
    <w:rsid w:val="00133785"/>
    <w:rsid w:val="001A4B9C"/>
    <w:rsid w:val="00247874"/>
    <w:rsid w:val="00323DB2"/>
    <w:rsid w:val="003808EE"/>
    <w:rsid w:val="003E3BF5"/>
    <w:rsid w:val="003F79D6"/>
    <w:rsid w:val="00406048"/>
    <w:rsid w:val="00477CFE"/>
    <w:rsid w:val="005348BF"/>
    <w:rsid w:val="005478FE"/>
    <w:rsid w:val="005E3DC9"/>
    <w:rsid w:val="006229B1"/>
    <w:rsid w:val="00651A13"/>
    <w:rsid w:val="00684BE2"/>
    <w:rsid w:val="006A1462"/>
    <w:rsid w:val="006D2DE5"/>
    <w:rsid w:val="006D7462"/>
    <w:rsid w:val="006E5751"/>
    <w:rsid w:val="00705AC3"/>
    <w:rsid w:val="00737EF2"/>
    <w:rsid w:val="00783C06"/>
    <w:rsid w:val="00810086"/>
    <w:rsid w:val="0087340A"/>
    <w:rsid w:val="008A6F13"/>
    <w:rsid w:val="00914B5F"/>
    <w:rsid w:val="00944AA1"/>
    <w:rsid w:val="00966F85"/>
    <w:rsid w:val="009D3537"/>
    <w:rsid w:val="009E1F1D"/>
    <w:rsid w:val="00A00ACB"/>
    <w:rsid w:val="00A83F1B"/>
    <w:rsid w:val="00A97EF2"/>
    <w:rsid w:val="00AE5CC3"/>
    <w:rsid w:val="00AF665C"/>
    <w:rsid w:val="00B64E9F"/>
    <w:rsid w:val="00BB1447"/>
    <w:rsid w:val="00CC7718"/>
    <w:rsid w:val="00CF3D9B"/>
    <w:rsid w:val="00D20D49"/>
    <w:rsid w:val="00D77AC1"/>
    <w:rsid w:val="00EC5860"/>
    <w:rsid w:val="00F2381B"/>
    <w:rsid w:val="00F9435C"/>
    <w:rsid w:val="00FA2CF7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2381B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F2381B"/>
    <w:rPr>
      <w:rFonts w:ascii="Calibri" w:hAnsi="Calibri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705AC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05AC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05AC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A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2CF7"/>
  </w:style>
  <w:style w:type="paragraph" w:styleId="aa">
    <w:name w:val="footer"/>
    <w:basedOn w:val="a"/>
    <w:link w:val="ab"/>
    <w:uiPriority w:val="99"/>
    <w:unhideWhenUsed/>
    <w:rsid w:val="00FA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2CF7"/>
  </w:style>
  <w:style w:type="paragraph" w:styleId="ac">
    <w:name w:val="List Paragraph"/>
    <w:basedOn w:val="a"/>
    <w:uiPriority w:val="34"/>
    <w:qFormat/>
    <w:rsid w:val="00EC5860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B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F2381B"/>
    <w:pPr>
      <w:spacing w:after="0" w:line="240" w:lineRule="auto"/>
    </w:pPr>
    <w:rPr>
      <w:rFonts w:ascii="Calibri" w:hAnsi="Calibri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F2381B"/>
    <w:rPr>
      <w:rFonts w:ascii="Calibri" w:hAnsi="Calibri"/>
      <w:szCs w:val="21"/>
    </w:rPr>
  </w:style>
  <w:style w:type="paragraph" w:styleId="a5">
    <w:name w:val="footnote text"/>
    <w:basedOn w:val="a"/>
    <w:link w:val="a6"/>
    <w:uiPriority w:val="99"/>
    <w:semiHidden/>
    <w:unhideWhenUsed/>
    <w:rsid w:val="00705AC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05AC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05AC3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A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2CF7"/>
  </w:style>
  <w:style w:type="paragraph" w:styleId="aa">
    <w:name w:val="footer"/>
    <w:basedOn w:val="a"/>
    <w:link w:val="ab"/>
    <w:uiPriority w:val="99"/>
    <w:unhideWhenUsed/>
    <w:rsid w:val="00FA2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2CF7"/>
  </w:style>
  <w:style w:type="paragraph" w:styleId="ac">
    <w:name w:val="List Paragraph"/>
    <w:basedOn w:val="a"/>
    <w:uiPriority w:val="34"/>
    <w:qFormat/>
    <w:rsid w:val="00EC5860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B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6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5016">
          <w:marLeft w:val="360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1975">
          <w:marLeft w:val="864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373">
          <w:marLeft w:val="864"/>
          <w:marRight w:val="0"/>
          <w:marTop w:val="72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28">
          <w:marLeft w:val="864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091C9-FE88-4FD3-8D38-95B2D117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Елена Николаевна</dc:creator>
  <cp:lastModifiedBy>Копылова Галина Альфредовна</cp:lastModifiedBy>
  <cp:revision>5</cp:revision>
  <cp:lastPrinted>2013-12-24T20:03:00Z</cp:lastPrinted>
  <dcterms:created xsi:type="dcterms:W3CDTF">2013-12-25T06:47:00Z</dcterms:created>
  <dcterms:modified xsi:type="dcterms:W3CDTF">2013-12-26T13:26:00Z</dcterms:modified>
</cp:coreProperties>
</file>