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90" w:rsidRPr="00C63D90" w:rsidRDefault="00C63D90" w:rsidP="00C63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D90">
        <w:rPr>
          <w:rFonts w:ascii="Times New Roman" w:hAnsi="Times New Roman" w:cs="Times New Roman"/>
          <w:b/>
          <w:bCs/>
          <w:sz w:val="28"/>
          <w:szCs w:val="28"/>
        </w:rPr>
        <w:t>КООРДИНАЦИОННЫЙ СОВЕТ ОТДЕЛЕНИЙ РСПП</w:t>
      </w:r>
    </w:p>
    <w:p w:rsidR="00C63D90" w:rsidRPr="00C63D90" w:rsidRDefault="00C63D90" w:rsidP="00C63D90">
      <w:pPr>
        <w:pStyle w:val="1"/>
        <w:rPr>
          <w:b/>
          <w:bCs/>
          <w:sz w:val="28"/>
          <w:szCs w:val="28"/>
        </w:rPr>
      </w:pPr>
      <w:r w:rsidRPr="00C63D90">
        <w:rPr>
          <w:sz w:val="28"/>
          <w:szCs w:val="28"/>
        </w:rPr>
        <w:t>В ПРИВОЛЖСКОМ ФЕДЕРАЛЬНОМ ОКРУГЕ</w:t>
      </w:r>
    </w:p>
    <w:p w:rsidR="00C63D90" w:rsidRPr="00C63D90" w:rsidRDefault="00C63D90" w:rsidP="00C63D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3D90">
        <w:rPr>
          <w:rFonts w:ascii="Times New Roman" w:hAnsi="Times New Roman" w:cs="Times New Roman"/>
          <w:sz w:val="28"/>
          <w:szCs w:val="28"/>
          <w:u w:val="single"/>
        </w:rPr>
        <w:t>5 октября 2011 года                                                                г. Нижний Новгород</w:t>
      </w:r>
    </w:p>
    <w:p w:rsidR="00C63D90" w:rsidRPr="00C63D90" w:rsidRDefault="00C63D90" w:rsidP="00C63D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3D90" w:rsidRDefault="00C63D90" w:rsidP="00C63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РЕШЕНИЕ КРУГЛОГО СТОЛА по вопросу: </w:t>
      </w:r>
    </w:p>
    <w:p w:rsidR="00C63D90" w:rsidRPr="00C63D90" w:rsidRDefault="00C63D90" w:rsidP="00C63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b/>
          <w:bCs/>
          <w:sz w:val="28"/>
          <w:szCs w:val="28"/>
        </w:rPr>
        <w:t>«Партнерство бизнеса и власти как фактор инвестиционной политики»</w:t>
      </w:r>
    </w:p>
    <w:p w:rsidR="00C63D90" w:rsidRPr="00C63D90" w:rsidRDefault="00C63D90" w:rsidP="00C63D90">
      <w:pPr>
        <w:spacing w:after="0" w:line="240" w:lineRule="auto"/>
        <w:ind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hanging="204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Участники заседания Круглого стола, заслушав и обсудив доклад Ответственного секретаря КСО РСПП ПФО – Антоневича Виталия Евстафьевича, отметили, что </w:t>
      </w:r>
      <w:r w:rsidRPr="00C63D90">
        <w:rPr>
          <w:rFonts w:ascii="Times New Roman" w:hAnsi="Times New Roman" w:cs="Times New Roman"/>
          <w:bCs/>
          <w:sz w:val="28"/>
          <w:szCs w:val="28"/>
        </w:rPr>
        <w:t xml:space="preserve">взаимодействие бизнеса и власти как системы партнерства органов государственной власти, органов местного самоуправления, профсоюзов, организаций работодателей и конечно бизнес-структур в сфере инвестиционной политике </w:t>
      </w:r>
      <w:r w:rsidRPr="00C63D90">
        <w:rPr>
          <w:rFonts w:ascii="Times New Roman" w:hAnsi="Times New Roman" w:cs="Times New Roman"/>
          <w:sz w:val="28"/>
          <w:szCs w:val="28"/>
        </w:rPr>
        <w:t xml:space="preserve">имеет важное значение. 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Федеральные целевые программы инвестиционной направленности способствуют финансированию развития фундаментальной науки, выполнению научно-исследовательских и опытно-конструкторских работ, а также созданию образцов конкурентоспособной инновационной продукции. 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Субъекты Российской Федерации в Приволжском федеральном округе проводят политику поддержки и стимулирования инновационной деятельности.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Эффективным вариантом взаимодействия государства и частного сектора для осуществления контроля использования государственных ресурсов в частных инвестиционных проектах  как раз является государственно-частное партнерство.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Участники заседания отметили, что на успешность реализуемых проектов ГЧП критическим образом могут повлиять следующие факторы: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отсутствие четких целей у государства и приверженности партнерству,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слишком сложная процедура принятия решений,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невнятная политика государства в отношении отдельных секторов экономики,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недостаточная законодательная база,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слабый риск-менеджмент,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низкое доверие к государственной и экономической политике,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недостаточное количество инструментов и механизмов привлечения долгосрочных финансовых ресурсов по приемлемым ценам – часто стоимость частных денег выше по сравнению с государственными ресурсами, что приводит к удорожанию проекта,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lastRenderedPageBreak/>
        <w:t>низкая прозрачность проектов, а также низкий уровень конкуренции из-за высоких издержек участия в тендерах приводят к росту издержек, а не их уменьшению,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отсутствие четко поставленных целей и задач у проектов, похожих более на перечень пожеланий, нежели осмысленных задач,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неполнота информации в первоначальных описаниях проектов, которые приводили к ненужным задержкам в связи с переоценкой проектов со стороны бизнеса после уточнения целей и задач проектов,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медлительность переговоров,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недостаток открытости в коммуникации с заказчиком, особенно в отношении учета рисков в процессе ценообразования,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отсутствие однозначности и стандартизации в исходной документации по проекту, которые приводили к противоречивым оценкам рисков и управления ими со стороны экспертов и участников проекта,</w:t>
      </w:r>
    </w:p>
    <w:p w:rsidR="00C63D90" w:rsidRPr="00C63D90" w:rsidRDefault="00C63D90" w:rsidP="00C63D9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высокие издержки участия в тендерах и аукционах в основном из-за необходимости привлечения консультантов в ходе подготовки документов, наиболее дорогими при этом оказывались услуги юристов.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К перечисленным критическим факторам в России добавляется своя специфика: 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1. Законодательная база для развития ГЧП в России имеется, но требуется ее доработка. Определения государственно-частного партнёрства присутствуют в законах о ГЧП, принятых в 35 субъектах РФ (по состоянию на июль 2011 года). При этом общепринятого определения, как и федерального закона о ГЧП, на сегодняшний день не существует. Хотя, есть отдельный закон о концессиях.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Одновременно 94 ФЗ и 115-й ФЗ (о конкуренции) вступают в противоречие с отдельными принципами ГЧП и в своем нынешнем виде мешают развитию этого процесса.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Однако при работе над законодательными новациями есть опасность движения в направлении увеличения зарегулированности данной сферы, что не решит проблемы, а лишь увеличит полномочия государственных чиновников.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2. Одна из самых важных проблем ГЧП в России – отсутствие экономической стабильности, краткосрочность государственного бюджетирования и распространенность практики изменений правил игры.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3. В отношениях государства и бизнеса отсутствует третий игрок – гражданское общество, которое гарантирует публичность и открытость взаимодействия частных компаний и госструктур в рамках ГЧП, поэтому функция контроля над решениями в области экономики полностью принадлежит чиновникам, что порождает коррупцию.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4. ГЧП в России не является партнерством: государство проявляет себя либо как всесильный начальник, принуждающий бизнес к участию на невыгодных бизнесу условиях, либо оно – спонсор, который обеспечивает поступление финансовых ресурсов в аффилированные частные компании. В </w:t>
      </w:r>
      <w:r w:rsidRPr="00C63D90">
        <w:rPr>
          <w:rFonts w:ascii="Times New Roman" w:hAnsi="Times New Roman" w:cs="Times New Roman"/>
          <w:sz w:val="28"/>
          <w:szCs w:val="28"/>
        </w:rPr>
        <w:lastRenderedPageBreak/>
        <w:t>первом случае бизнес вступает во взаимодействие для того, чтобы, используя государство, решить какие-то свои другие проблемы, что негативно сказывается на качестве управления данным проектом (в котором бизнес не заинтересован), во втором случае последствия еще хуже, поскольку изначально закладывается коррупционная схема «освоения» бюджетных средств.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5. Одним из барьеров развития ГЧП в России является отсутствие стратегического целеориентированного подхода к планированию. В большинстве случаев используется устаревший подход к выработке стратегии развития страны, выражающийся в формуле «найти задачу под имеющиеся бюджетные средства, а не средства под задачу». Это означает, что в планировании проектов ГЧП участвует только одна сторона – государство, тогда как правильнее было бы еще на этапе принятия стратегии развития территории принимать во внимание возможности бизнеса по финансированию таких проектов. Но для этого со стороны государства должна быть четкость и прозрачность, которой пока нет, причем речь идет как формальных, так и неформальных правилах.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6. Российский бизнес больше мотивирован к взаимодействиям с государством в виде ГЧП, нежели государство. Хотя и на стороне бизнеса в большом количестве присутствуют компании, аффилированные с государством и в силу этого демонстрирующие «эффективность» только в условиях неконкурентной среды.</w:t>
      </w: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Суммируя все вышесказанное, можно заключить, что основным барьером, создающим наибольшие препятствия для развития ГЧП, как в мире, так и в России, является низкий уровень квалификации и отсутствие опыта у чиновников, курирующих проекты ГЧП от лица государства. Критичным является также отсутствие механизмов накопления этого опыта и передачи компетенций. В России и Китае серьезным препятствием для развития ГЧП выступает еще и высокий уровень коррупции и политических рисков. Все это приводит к тому, что проекты государственно-частного партнерства реализуются в России скорее не «благодаря» существующей системе, а «вопреки» ей, и то только в том случае, если на стороне государства есть «заинтересованные энтузиасты». В настоящее время, по оценкам экспертов, таковые имеются на федеральном уровне и в некоторых регионах, однако сама система не способствует их воспроизводству. Низкий уровень квалификации госчиновников является для развития ГЧП не меньшим злом, нежели коррупция.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3D90">
        <w:rPr>
          <w:rFonts w:ascii="Times New Roman" w:hAnsi="Times New Roman" w:cs="Times New Roman"/>
          <w:b/>
          <w:sz w:val="28"/>
          <w:szCs w:val="28"/>
        </w:rPr>
        <w:t>По итогам состоявшегося обсуждения участники заседания Круглого стола решили: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3D90">
        <w:rPr>
          <w:rFonts w:ascii="Times New Roman" w:hAnsi="Times New Roman" w:cs="Times New Roman"/>
          <w:sz w:val="28"/>
          <w:szCs w:val="28"/>
          <w:u w:val="single"/>
        </w:rPr>
        <w:t>Обратиться в РСПП с просьбой предложить Правительству Российской Федерации совместно с Государственной Думой Федерального Собрания Российской Федерации:</w:t>
      </w:r>
    </w:p>
    <w:p w:rsidR="00C63D90" w:rsidRPr="00C63D90" w:rsidRDefault="00C63D90" w:rsidP="00C63D9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Ускорить принятие:</w:t>
      </w:r>
    </w:p>
    <w:p w:rsidR="00C63D90" w:rsidRPr="00C63D90" w:rsidRDefault="00C63D90" w:rsidP="00C63D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промышленной политики в Российской Федерации»;</w:t>
      </w:r>
    </w:p>
    <w:p w:rsidR="00C63D90" w:rsidRPr="00C63D90" w:rsidRDefault="00C63D90" w:rsidP="00C63D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Федерального закона «Об инновационной деятельности в Российской Федерации», в котором должны быть отражены основные понятия, цели и принципы инновационной деятельности, ключевые направления и формы её поддержки;</w:t>
      </w:r>
    </w:p>
    <w:p w:rsidR="00C63D90" w:rsidRPr="00C63D90" w:rsidRDefault="00C63D90" w:rsidP="00C63D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Федерального закона «О результатах интеллектуальной деятельности»;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3D90" w:rsidRPr="00C63D90" w:rsidRDefault="00C63D90" w:rsidP="00C63D9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Создать благоприятный налоговый механизм для привлечения инвестиций в государственно-частные партнерства, где  государство должно: </w:t>
      </w:r>
    </w:p>
    <w:p w:rsidR="00C63D90" w:rsidRPr="00C63D90" w:rsidRDefault="00C63D90" w:rsidP="00C63D90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совершенствовать амортизационную политику (в т.ч. сокращение сроков амортизации);</w:t>
      </w:r>
    </w:p>
    <w:p w:rsidR="00C63D90" w:rsidRPr="00C63D90" w:rsidRDefault="00C63D90" w:rsidP="00C63D90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ab/>
        <w:t>изменить положения в области администрирования НДС;</w:t>
      </w:r>
    </w:p>
    <w:p w:rsidR="00C63D90" w:rsidRPr="00C63D90" w:rsidRDefault="00C63D90" w:rsidP="00C63D90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ab/>
        <w:t>ввести нулевую ставку НДС при ввозе технологического оборудования;</w:t>
      </w:r>
    </w:p>
    <w:p w:rsidR="00C63D90" w:rsidRPr="00C63D90" w:rsidRDefault="00C63D90" w:rsidP="00C63D90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ab/>
        <w:t>снизить (освободить) от налога на имущество юридических лиц по основным средствам в течение первых 3 – 5 лет эксплуатации;</w:t>
      </w:r>
    </w:p>
    <w:p w:rsidR="00C63D90" w:rsidRPr="00C63D90" w:rsidRDefault="00C63D90" w:rsidP="00C63D90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ab/>
        <w:t>освободить от НДС НИОКР в негосударственных организациях;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Обеспечить рост квалификации менеджеров со стороны государства;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Разработать систему стандартизации оценки рисков и управления ими.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      Прекратить практику, когда распределение рисков между государством и   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 xml:space="preserve">       бизнесом в ходе проекта пересматривается по нескольку раз;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Создать национальную базу данных о подобных проектах ГЧП для аккумулирования опыта, Которая позволила бы быстрее и точнее производить оценку рисков и предлагать более конкурентную цену.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Обеспечить массовое обучение менеджеров в области инвестиционной и инновационной деятельности за рубежом;</w:t>
      </w:r>
    </w:p>
    <w:p w:rsidR="00C63D90" w:rsidRPr="00C63D90" w:rsidRDefault="00C63D90" w:rsidP="00C6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90" w:rsidRPr="00C63D90" w:rsidRDefault="00C63D90" w:rsidP="00C63D9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90">
        <w:rPr>
          <w:rFonts w:ascii="Times New Roman" w:hAnsi="Times New Roman" w:cs="Times New Roman"/>
          <w:sz w:val="28"/>
          <w:szCs w:val="28"/>
        </w:rPr>
        <w:t>Создать среду, поощряющую деятельность инновационно-активных предприятий в реальном секторе экономики.</w:t>
      </w:r>
    </w:p>
    <w:p w:rsidR="001E31B4" w:rsidRPr="00C63D90" w:rsidRDefault="001E31B4" w:rsidP="00C63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1B4" w:rsidRPr="00C63D90" w:rsidSect="00C63D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AF" w:rsidRDefault="005256AF" w:rsidP="00C63D90">
      <w:pPr>
        <w:spacing w:after="0" w:line="240" w:lineRule="auto"/>
      </w:pPr>
      <w:r>
        <w:separator/>
      </w:r>
    </w:p>
  </w:endnote>
  <w:endnote w:type="continuationSeparator" w:id="1">
    <w:p w:rsidR="005256AF" w:rsidRDefault="005256AF" w:rsidP="00C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AF" w:rsidRDefault="005256AF" w:rsidP="00C63D90">
      <w:pPr>
        <w:spacing w:after="0" w:line="240" w:lineRule="auto"/>
      </w:pPr>
      <w:r>
        <w:separator/>
      </w:r>
    </w:p>
  </w:footnote>
  <w:footnote w:type="continuationSeparator" w:id="1">
    <w:p w:rsidR="005256AF" w:rsidRDefault="005256AF" w:rsidP="00C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211"/>
      <w:docPartObj>
        <w:docPartGallery w:val="Page Numbers (Top of Page)"/>
        <w:docPartUnique/>
      </w:docPartObj>
    </w:sdtPr>
    <w:sdtContent>
      <w:p w:rsidR="00C63D90" w:rsidRDefault="00C63D90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63D90" w:rsidRDefault="00C63D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86"/>
    <w:multiLevelType w:val="hybridMultilevel"/>
    <w:tmpl w:val="5E4C00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1B95"/>
    <w:multiLevelType w:val="hybridMultilevel"/>
    <w:tmpl w:val="AFB42FF8"/>
    <w:lvl w:ilvl="0" w:tplc="24FA16D2">
      <w:start w:val="1"/>
      <w:numFmt w:val="bullet"/>
      <w:lvlText w:val="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9780E"/>
    <w:multiLevelType w:val="hybridMultilevel"/>
    <w:tmpl w:val="27C2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A0101"/>
    <w:multiLevelType w:val="hybridMultilevel"/>
    <w:tmpl w:val="7C2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84D53"/>
    <w:multiLevelType w:val="hybridMultilevel"/>
    <w:tmpl w:val="B1660A9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FA16D2">
      <w:start w:val="1"/>
      <w:numFmt w:val="bullet"/>
      <w:lvlText w:val="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73E36"/>
    <w:multiLevelType w:val="hybridMultilevel"/>
    <w:tmpl w:val="AB186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B0CE0"/>
    <w:multiLevelType w:val="hybridMultilevel"/>
    <w:tmpl w:val="55529384"/>
    <w:lvl w:ilvl="0" w:tplc="46D82DB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D4202"/>
    <w:multiLevelType w:val="hybridMultilevel"/>
    <w:tmpl w:val="4EC2C5D0"/>
    <w:lvl w:ilvl="0" w:tplc="37BC86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71BAB"/>
    <w:multiLevelType w:val="hybridMultilevel"/>
    <w:tmpl w:val="CD887E0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258C3"/>
    <w:multiLevelType w:val="hybridMultilevel"/>
    <w:tmpl w:val="5D80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00010"/>
    <w:multiLevelType w:val="hybridMultilevel"/>
    <w:tmpl w:val="F8BE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E3630"/>
    <w:multiLevelType w:val="hybridMultilevel"/>
    <w:tmpl w:val="2AA2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16D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6437D"/>
    <w:multiLevelType w:val="hybridMultilevel"/>
    <w:tmpl w:val="9C2497D0"/>
    <w:lvl w:ilvl="0" w:tplc="24FA1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14E8C"/>
    <w:multiLevelType w:val="hybridMultilevel"/>
    <w:tmpl w:val="0D9A18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72C22"/>
    <w:multiLevelType w:val="hybridMultilevel"/>
    <w:tmpl w:val="02642B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9AE"/>
    <w:rsid w:val="001769AE"/>
    <w:rsid w:val="001E31B4"/>
    <w:rsid w:val="004850F3"/>
    <w:rsid w:val="005256AF"/>
    <w:rsid w:val="007C615F"/>
    <w:rsid w:val="00C63D90"/>
    <w:rsid w:val="00E2550C"/>
    <w:rsid w:val="00F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5F"/>
  </w:style>
  <w:style w:type="paragraph" w:styleId="1">
    <w:name w:val="heading 1"/>
    <w:basedOn w:val="a"/>
    <w:next w:val="a"/>
    <w:link w:val="10"/>
    <w:qFormat/>
    <w:rsid w:val="00176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17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6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69A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769AE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69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7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769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C63D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63D9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6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KirovAM</dc:creator>
  <cp:lastModifiedBy>KirovAM</cp:lastModifiedBy>
  <cp:revision>4</cp:revision>
  <dcterms:created xsi:type="dcterms:W3CDTF">2011-10-07T05:51:00Z</dcterms:created>
  <dcterms:modified xsi:type="dcterms:W3CDTF">2011-10-07T05:56:00Z</dcterms:modified>
</cp:coreProperties>
</file>