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AC" w:rsidRPr="00D24AB4" w:rsidRDefault="00D24AB4" w:rsidP="00D24AB4">
      <w:pPr>
        <w:spacing w:line="240" w:lineRule="auto"/>
        <w:ind w:firstLine="0"/>
        <w:jc w:val="center"/>
        <w:rPr>
          <w:b/>
        </w:rPr>
      </w:pPr>
      <w:r w:rsidRPr="00D24AB4">
        <w:rPr>
          <w:b/>
        </w:rPr>
        <w:t>Итоги опроса «Основные меры налогового стимулирования, принятые в период с 2008 по 2010 гг.»</w:t>
      </w:r>
      <w:r w:rsidR="008B5563">
        <w:rPr>
          <w:b/>
        </w:rPr>
        <w:t>, апрель</w:t>
      </w:r>
      <w:r w:rsidR="00CF6B46">
        <w:rPr>
          <w:b/>
        </w:rPr>
        <w:t>-май</w:t>
      </w:r>
      <w:r w:rsidR="008B5563">
        <w:rPr>
          <w:b/>
        </w:rPr>
        <w:t xml:space="preserve"> 2011 г.</w:t>
      </w:r>
    </w:p>
    <w:p w:rsidR="00D24AB4" w:rsidRDefault="00D24AB4" w:rsidP="00D24AB4">
      <w:pPr>
        <w:ind w:firstLine="0"/>
      </w:pPr>
    </w:p>
    <w:p w:rsidR="00774E1F" w:rsidRDefault="00D24AB4" w:rsidP="00D24AB4">
      <w:r>
        <w:t>В опросе приняли участие компании металлургии, транспорта, машиностроения, легкой промышленности</w:t>
      </w:r>
      <w:r w:rsidR="00281545">
        <w:t>, ТЭК</w:t>
      </w:r>
      <w:r w:rsidR="00F8409E">
        <w:t>, пищевой промышленности, добывающей промышленности</w:t>
      </w:r>
      <w:r w:rsidR="009A74CE">
        <w:t>, услуги, ряд других секторов</w:t>
      </w:r>
      <w:r>
        <w:t>.</w:t>
      </w:r>
      <w:r w:rsidR="00595807">
        <w:t xml:space="preserve"> </w:t>
      </w:r>
    </w:p>
    <w:p w:rsidR="00D24AB4" w:rsidRDefault="00595807" w:rsidP="00D24AB4">
      <w:r>
        <w:t xml:space="preserve">Ряд анкет направлены от имени холдинга/группы компаний, в связи с чем в рамках одной анкеты </w:t>
      </w:r>
      <w:r w:rsidR="00F8409E">
        <w:t>может отмеча</w:t>
      </w:r>
      <w:r>
        <w:t>т</w:t>
      </w:r>
      <w:r w:rsidR="00F8409E">
        <w:t>ь</w:t>
      </w:r>
      <w:r>
        <w:t>ся одновременное использование двух</w:t>
      </w:r>
      <w:r w:rsidR="002B089C">
        <w:t xml:space="preserve"> несовместимых</w:t>
      </w:r>
      <w:r>
        <w:t xml:space="preserve"> видов льгот - снижение ставки налога на прибыль с 24 до 20% и </w:t>
      </w:r>
      <w:r w:rsidRPr="00595807">
        <w:t>пониженный тариф страховых взносов в ПФР (18%) для организаций и индивидуальных предпринимателей, применяющих упрощенную систему налогообложения</w:t>
      </w:r>
      <w:r>
        <w:t>.</w:t>
      </w:r>
    </w:p>
    <w:p w:rsidR="00774E1F" w:rsidRPr="00774E1F" w:rsidRDefault="00774E1F" w:rsidP="00D24AB4">
      <w:pPr>
        <w:rPr>
          <w:b/>
          <w:i/>
        </w:rPr>
      </w:pPr>
      <w:r w:rsidRPr="00774E1F">
        <w:rPr>
          <w:b/>
          <w:i/>
        </w:rPr>
        <w:t xml:space="preserve">Востребованные/универсальные льготы (используются не менее чем </w:t>
      </w:r>
      <w:r w:rsidR="0090086F">
        <w:rPr>
          <w:b/>
          <w:i/>
        </w:rPr>
        <w:t xml:space="preserve">третью </w:t>
      </w:r>
      <w:r w:rsidRPr="00774E1F">
        <w:rPr>
          <w:b/>
          <w:i/>
        </w:rPr>
        <w:t>опрошенных компаний)</w:t>
      </w:r>
    </w:p>
    <w:p w:rsidR="00D24AB4" w:rsidRDefault="00D24AB4" w:rsidP="00D24AB4">
      <w:r>
        <w:t xml:space="preserve">Все опрошенные компании используют </w:t>
      </w:r>
      <w:r w:rsidR="006D67F3">
        <w:t xml:space="preserve">только одну </w:t>
      </w:r>
      <w:r>
        <w:t>льгот</w:t>
      </w:r>
      <w:r w:rsidR="006D67F3">
        <w:t xml:space="preserve">у - </w:t>
      </w:r>
      <w:r w:rsidR="00285C98">
        <w:t>с</w:t>
      </w:r>
      <w:r>
        <w:t>нижение ставки налога на прибыль с 24 до 20%</w:t>
      </w:r>
      <w:r w:rsidR="002B089C">
        <w:t xml:space="preserve">, что не вызывает удивления. Вместе с тем, </w:t>
      </w:r>
      <w:r w:rsidR="00780EAA" w:rsidRPr="002B089C">
        <w:t>компании отмечают, что «мера эффективна только при наличии прибыли. В условиях кризиса, когда прибыль отсутствует, снижение ставки не дает эффекта, т.к. происходит перенос убытков»</w:t>
      </w:r>
      <w:r w:rsidR="00774E1F" w:rsidRPr="002B089C">
        <w:t>.</w:t>
      </w:r>
    </w:p>
    <w:p w:rsidR="006D67F3" w:rsidRDefault="006D67F3" w:rsidP="006D67F3">
      <w:r w:rsidRPr="00F8409E">
        <w:rPr>
          <w:b/>
        </w:rPr>
        <w:t>Освобождением от налогообложения затрат работодателей на обучение сотрудников</w:t>
      </w:r>
      <w:r>
        <w:t xml:space="preserve"> (налог на прибыль, ЕСН, НДФЛ) не пользу</w:t>
      </w:r>
      <w:r w:rsidR="00F8409E">
        <w:t>ю</w:t>
      </w:r>
      <w:r>
        <w:t xml:space="preserve">тся только </w:t>
      </w:r>
      <w:r w:rsidR="00F8409E">
        <w:t xml:space="preserve">три </w:t>
      </w:r>
      <w:r>
        <w:t>компани</w:t>
      </w:r>
      <w:r w:rsidR="00F8409E">
        <w:t>и</w:t>
      </w:r>
      <w:r>
        <w:t>, объясняя это</w:t>
      </w:r>
      <w:r w:rsidR="00DD26DF">
        <w:t>, в частности,</w:t>
      </w:r>
      <w:r>
        <w:t xml:space="preserve"> тем, что «</w:t>
      </w:r>
      <w:r w:rsidRPr="006D67F3">
        <w:t>в отношении сотрудников работает обычная норма, в отношении будущих сотрудников – сложное администрирование</w:t>
      </w:r>
      <w:r>
        <w:t>»</w:t>
      </w:r>
      <w:r w:rsidR="00F8409E">
        <w:t xml:space="preserve"> либо «нет затрат»</w:t>
      </w:r>
      <w:r>
        <w:t>.</w:t>
      </w:r>
    </w:p>
    <w:p w:rsidR="006D67F3" w:rsidRDefault="006D67F3" w:rsidP="006D67F3">
      <w:r>
        <w:t xml:space="preserve">Что касается </w:t>
      </w:r>
      <w:r w:rsidRPr="005D0D81">
        <w:rPr>
          <w:b/>
        </w:rPr>
        <w:t>ускоренного (заявительного) порядка возмещения НДС</w:t>
      </w:r>
      <w:r>
        <w:t>, то это</w:t>
      </w:r>
      <w:r w:rsidR="00774E1F">
        <w:t xml:space="preserve"> также</w:t>
      </w:r>
      <w:r>
        <w:t xml:space="preserve"> довольно востребованная льгота – ей пользуются </w:t>
      </w:r>
      <w:r w:rsidR="00335D91">
        <w:t>более половины</w:t>
      </w:r>
      <w:r>
        <w:t xml:space="preserve"> компаний. Опрошенные</w:t>
      </w:r>
      <w:r w:rsidR="005F5C82">
        <w:t xml:space="preserve"> компании, даже относящиеся к</w:t>
      </w:r>
      <w:r>
        <w:t xml:space="preserve"> </w:t>
      </w:r>
      <w:r w:rsidR="005F5C82">
        <w:t xml:space="preserve">крупнейшим налогоплательщикам </w:t>
      </w:r>
      <w:r>
        <w:t>отмечают, что не пользуются этой льготой из-за повышенных требований по совокупным налогам и отсутствия возможности использования банковских гарантий</w:t>
      </w:r>
      <w:r w:rsidR="005F5C82">
        <w:t xml:space="preserve"> («высокое пороговое значение, банковские гарантии дорогие»)</w:t>
      </w:r>
      <w:r>
        <w:t>. Об этом же говорят к</w:t>
      </w:r>
      <w:r w:rsidR="00DD26DF">
        <w:t>омпании, использующие эту льгот </w:t>
      </w:r>
      <w:r>
        <w:t xml:space="preserve"> </w:t>
      </w:r>
      <w:r w:rsidR="00DD26DF">
        <w:t xml:space="preserve">- </w:t>
      </w:r>
      <w:r>
        <w:lastRenderedPageBreak/>
        <w:t>«об эффекте можно говорить только при наличии налога к возмещению. Есть проблема доступа для небольших организаций, т.к. за банковскую гарантию надо платить». Только одна компания не пользовалась льготой в связи с тем, что «не было необходимости». Некоторые компании не используют льготу не только из-за значительных расходов</w:t>
      </w:r>
      <w:r w:rsidRPr="006D67F3">
        <w:t>, связанны</w:t>
      </w:r>
      <w:r>
        <w:t>х</w:t>
      </w:r>
      <w:r w:rsidRPr="006D67F3">
        <w:t xml:space="preserve"> с получением банковской гарантии</w:t>
      </w:r>
      <w:r>
        <w:t>, но и из-за</w:t>
      </w:r>
      <w:r w:rsidRPr="006D67F3">
        <w:t xml:space="preserve"> </w:t>
      </w:r>
      <w:r>
        <w:t>«</w:t>
      </w:r>
      <w:r w:rsidRPr="006D67F3">
        <w:t>штраф</w:t>
      </w:r>
      <w:r>
        <w:t>а</w:t>
      </w:r>
      <w:r w:rsidRPr="006D67F3">
        <w:t xml:space="preserve"> и выше обычных пени в случае обнаружения ошибок</w:t>
      </w:r>
      <w:r>
        <w:t>».</w:t>
      </w:r>
    </w:p>
    <w:p w:rsidR="00D24AB4" w:rsidRDefault="006D67F3" w:rsidP="00D24AB4">
      <w:r w:rsidRPr="006D67F3">
        <w:rPr>
          <w:b/>
        </w:rPr>
        <w:t>В</w:t>
      </w:r>
      <w:r w:rsidR="00D24AB4" w:rsidRPr="006D67F3">
        <w:rPr>
          <w:b/>
        </w:rPr>
        <w:t>ычет НДС с авансов</w:t>
      </w:r>
      <w:r>
        <w:t xml:space="preserve"> востребован </w:t>
      </w:r>
      <w:r w:rsidR="00335D91">
        <w:t xml:space="preserve">более чем </w:t>
      </w:r>
      <w:r w:rsidR="000A7D49">
        <w:t>60%</w:t>
      </w:r>
      <w:r w:rsidR="00335D91">
        <w:t xml:space="preserve"> компаний. Не пользуются им </w:t>
      </w:r>
      <w:r w:rsidR="00287A43">
        <w:t xml:space="preserve">из-за сложностей с администрированием, в частности одна из компаний ответила, что </w:t>
      </w:r>
      <w:r>
        <w:t>«о</w:t>
      </w:r>
      <w:r w:rsidRPr="006D67F3">
        <w:t xml:space="preserve">чень сложное администрирование, связанное с отслеживанием фактического момента оказания услуг, оприходования товара, чтобы восстановить </w:t>
      </w:r>
      <w:r w:rsidR="008B5563" w:rsidRPr="006D67F3">
        <w:t xml:space="preserve">ранее принятый к вычету </w:t>
      </w:r>
      <w:r w:rsidRPr="006D67F3">
        <w:t>НДС с аванса</w:t>
      </w:r>
      <w:r>
        <w:t>»</w:t>
      </w:r>
      <w:r w:rsidR="000B460C">
        <w:t>.</w:t>
      </w:r>
      <w:r w:rsidRPr="006D67F3">
        <w:t xml:space="preserve"> </w:t>
      </w:r>
      <w:r w:rsidR="00595807">
        <w:t>Еще одна компания ответила «да/нет», уточняя, что это не реализовано «в программном продукте»</w:t>
      </w:r>
      <w:r w:rsidR="00DD26DF">
        <w:t>, который используется компанией в настоящее время</w:t>
      </w:r>
      <w:r w:rsidR="00595807">
        <w:t xml:space="preserve">. </w:t>
      </w:r>
      <w:r>
        <w:t>Ряд компаний, которые пользуются льготой,</w:t>
      </w:r>
      <w:r w:rsidRPr="006D67F3">
        <w:t xml:space="preserve"> предлагают в целях снижения административной нагрузки и упрощения налогового администрирования отменить НДС с авансов</w:t>
      </w:r>
      <w:r>
        <w:t>.</w:t>
      </w:r>
    </w:p>
    <w:p w:rsidR="005D0D81" w:rsidRDefault="005D0D81" w:rsidP="00D24AB4">
      <w:r w:rsidRPr="00926CA7">
        <w:rPr>
          <w:rFonts w:eastAsia="Calibri"/>
          <w:b/>
        </w:rPr>
        <w:t>Освобожден</w:t>
      </w:r>
      <w:r w:rsidRPr="00926CA7">
        <w:rPr>
          <w:b/>
        </w:rPr>
        <w:t>ие</w:t>
      </w:r>
      <w:r w:rsidRPr="00926CA7">
        <w:rPr>
          <w:rFonts w:eastAsia="Calibri"/>
          <w:b/>
        </w:rPr>
        <w:t xml:space="preserve"> от НДС ввоз</w:t>
      </w:r>
      <w:r w:rsidRPr="00926CA7">
        <w:rPr>
          <w:b/>
        </w:rPr>
        <w:t>а</w:t>
      </w:r>
      <w:r w:rsidRPr="00926CA7">
        <w:rPr>
          <w:rFonts w:eastAsia="Calibri"/>
          <w:b/>
        </w:rPr>
        <w:t xml:space="preserve"> технологического оборудования (по перечню), не имеющего аналогов в РФ</w:t>
      </w:r>
      <w:r w:rsidR="00926CA7">
        <w:t xml:space="preserve">, не востребовано компаниями из-за </w:t>
      </w:r>
      <w:r w:rsidR="00281545">
        <w:t xml:space="preserve">как из-за </w:t>
      </w:r>
      <w:r w:rsidR="00926CA7">
        <w:t>экономических особенностей («отсутствие операций»</w:t>
      </w:r>
      <w:r w:rsidR="00A3433C">
        <w:t>, «не являемся получателем льгот»</w:t>
      </w:r>
      <w:r w:rsidR="00926CA7">
        <w:t>)</w:t>
      </w:r>
      <w:r w:rsidR="00281545">
        <w:t>, так и административных барьеров («ввозимое оборудование не было в перечне, включение в перечень занимает много времени»)</w:t>
      </w:r>
      <w:r w:rsidR="00926CA7">
        <w:t>.</w:t>
      </w:r>
      <w:r w:rsidR="00C912A9" w:rsidRPr="00C912A9">
        <w:t xml:space="preserve"> </w:t>
      </w:r>
      <w:r w:rsidR="00DD26DF">
        <w:t>Вместе с тем, л</w:t>
      </w:r>
      <w:r w:rsidR="00C912A9">
        <w:t>ьготой пользуется</w:t>
      </w:r>
      <w:r w:rsidR="00CF0AD9">
        <w:t xml:space="preserve"> более</w:t>
      </w:r>
      <w:r w:rsidR="00C912A9">
        <w:t xml:space="preserve"> </w:t>
      </w:r>
      <w:r w:rsidR="00335D91">
        <w:t>трети</w:t>
      </w:r>
      <w:r w:rsidR="00C912A9">
        <w:t xml:space="preserve"> опрошенных компаний.</w:t>
      </w:r>
    </w:p>
    <w:p w:rsidR="000B460C" w:rsidRDefault="00335D91" w:rsidP="000B460C">
      <w:r>
        <w:rPr>
          <w:b/>
        </w:rPr>
        <w:t>Изменение</w:t>
      </w:r>
      <w:r w:rsidR="000B460C" w:rsidRPr="000B460C">
        <w:rPr>
          <w:b/>
        </w:rPr>
        <w:t xml:space="preserve"> порядка принятия НДС к вычету по капитальному строительству (принять НДС к вычету можно до завершения капитального строительства)</w:t>
      </w:r>
      <w:r>
        <w:rPr>
          <w:b/>
        </w:rPr>
        <w:t xml:space="preserve"> – вторая по популярности льгота.</w:t>
      </w:r>
      <w:r w:rsidR="000B460C">
        <w:t xml:space="preserve"> </w:t>
      </w:r>
      <w:r>
        <w:t xml:space="preserve">Не используют ее только две </w:t>
      </w:r>
      <w:r w:rsidR="00A3433C">
        <w:t>компани</w:t>
      </w:r>
      <w:r>
        <w:t>и</w:t>
      </w:r>
      <w:r w:rsidR="00A3433C">
        <w:t xml:space="preserve"> в </w:t>
      </w:r>
      <w:r w:rsidR="000B460C">
        <w:t xml:space="preserve">связи с </w:t>
      </w:r>
      <w:r w:rsidR="006D67F3">
        <w:t xml:space="preserve">отсутствием </w:t>
      </w:r>
      <w:r w:rsidR="000B460C">
        <w:t>капитального строительства.</w:t>
      </w:r>
      <w:r w:rsidR="00A3433C">
        <w:t xml:space="preserve"> В одном случае компания, использующая эту льготу, отметила, что имеются отказы по долевому строительству.</w:t>
      </w:r>
    </w:p>
    <w:p w:rsidR="000B460C" w:rsidRDefault="00335D91" w:rsidP="000B460C">
      <w:r>
        <w:lastRenderedPageBreak/>
        <w:t>Три четверти</w:t>
      </w:r>
      <w:r w:rsidR="000B460C">
        <w:t xml:space="preserve"> компани</w:t>
      </w:r>
      <w:r w:rsidR="00A3433C">
        <w:t>й</w:t>
      </w:r>
      <w:r w:rsidR="000B460C">
        <w:t xml:space="preserve"> используют такие льготы, как </w:t>
      </w:r>
      <w:r w:rsidR="000B460C" w:rsidRPr="00A52906">
        <w:rPr>
          <w:b/>
        </w:rPr>
        <w:t>введение амортизационной премии по налогу на прибыль в размере 10%</w:t>
      </w:r>
      <w:r w:rsidR="000B460C">
        <w:t xml:space="preserve"> и </w:t>
      </w:r>
      <w:r w:rsidR="000B460C" w:rsidRPr="00A52906">
        <w:rPr>
          <w:b/>
        </w:rPr>
        <w:t>увеличение амортизационной премии до 30% для основных средств 3-7 группы – срок полезного использования 3-20 лет</w:t>
      </w:r>
      <w:r>
        <w:rPr>
          <w:b/>
        </w:rPr>
        <w:t xml:space="preserve"> </w:t>
      </w:r>
      <w:r w:rsidRPr="00335D91">
        <w:t>(совпадающий перечень компаний для обеих льгот)</w:t>
      </w:r>
      <w:r w:rsidR="000B460C" w:rsidRPr="00335D91">
        <w:t>.</w:t>
      </w:r>
      <w:r w:rsidR="000B460C">
        <w:t xml:space="preserve"> </w:t>
      </w:r>
      <w:r w:rsidR="00A3433C">
        <w:t>О</w:t>
      </w:r>
      <w:r w:rsidR="000B460C">
        <w:t>дна компания не применяет амортизационную премию «согласно учетной политике»</w:t>
      </w:r>
      <w:r w:rsidR="00A3433C">
        <w:t>, две – просто указали, что не применяют</w:t>
      </w:r>
      <w:r w:rsidR="000B460C">
        <w:t xml:space="preserve">. </w:t>
      </w:r>
      <w:r w:rsidR="00595807">
        <w:t xml:space="preserve">Еще одна компания ответила «да/нет», уточняя, что это не реализовано «в программном продукте». </w:t>
      </w:r>
      <w:r w:rsidR="000B460C">
        <w:t xml:space="preserve">В то же время </w:t>
      </w:r>
      <w:r w:rsidR="000B460C" w:rsidRPr="000B460C">
        <w:t xml:space="preserve">компании, использующие льготу, предлагают рассмотреть возможность возврата инвестиционной льготы, т.к. </w:t>
      </w:r>
      <w:r w:rsidR="006F6803">
        <w:t>«</w:t>
      </w:r>
      <w:r w:rsidR="000B460C" w:rsidRPr="000B460C">
        <w:t>механизм амортизационной премии позволяет только перераспределять расходы во времени</w:t>
      </w:r>
      <w:r w:rsidR="006F6803">
        <w:t>»</w:t>
      </w:r>
      <w:r w:rsidR="000B460C" w:rsidRPr="000B460C">
        <w:t>.</w:t>
      </w:r>
    </w:p>
    <w:p w:rsidR="005E4B11" w:rsidRDefault="005E4B11" w:rsidP="005E4B11">
      <w:r>
        <w:t xml:space="preserve">Такой льготой, </w:t>
      </w:r>
      <w:r w:rsidRPr="0040158B">
        <w:rPr>
          <w:b/>
        </w:rPr>
        <w:t>как исключение требования о стоимости вклада (доли) в уставный капитал - не менее 500 млн. руб. для подтверждения права на применение нулевой ставки по налогу на прибыль</w:t>
      </w:r>
      <w:r>
        <w:t xml:space="preserve">, пользуется </w:t>
      </w:r>
      <w:r w:rsidR="00645ABA">
        <w:t xml:space="preserve">половина </w:t>
      </w:r>
      <w:r>
        <w:t>компаний. Причиной неиспользования компании называют экономические причины или отсутствие таких операций. В одном случае компания не использует данную льготу, т.к. «</w:t>
      </w:r>
      <w:r w:rsidR="00D4778F">
        <w:t>н</w:t>
      </w:r>
      <w:r w:rsidRPr="006D67F3">
        <w:t xml:space="preserve">орма применяется только в отношении российских компаний, дивиденды выплачиваются </w:t>
      </w:r>
      <w:r>
        <w:t>(компанией) только иностранным организациям».</w:t>
      </w:r>
    </w:p>
    <w:p w:rsidR="005E4B11" w:rsidRDefault="005E4B11" w:rsidP="005E4B11"/>
    <w:p w:rsidR="00774E1F" w:rsidRPr="00774E1F" w:rsidRDefault="00774E1F" w:rsidP="000B460C">
      <w:pPr>
        <w:rPr>
          <w:b/>
          <w:i/>
        </w:rPr>
      </w:pPr>
      <w:r w:rsidRPr="00774E1F">
        <w:rPr>
          <w:b/>
          <w:i/>
        </w:rPr>
        <w:t xml:space="preserve">Льготы, востребованные ограниченным </w:t>
      </w:r>
      <w:r>
        <w:rPr>
          <w:b/>
          <w:i/>
        </w:rPr>
        <w:t xml:space="preserve">числом опрошенных </w:t>
      </w:r>
      <w:r w:rsidRPr="00774E1F">
        <w:rPr>
          <w:b/>
          <w:i/>
        </w:rPr>
        <w:t>компаний</w:t>
      </w:r>
    </w:p>
    <w:p w:rsidR="00335D91" w:rsidRDefault="00335D91" w:rsidP="00335D91">
      <w:r>
        <w:t xml:space="preserve">Компании не используют </w:t>
      </w:r>
      <w:r w:rsidRPr="005D0D81">
        <w:rPr>
          <w:b/>
        </w:rPr>
        <w:t>повышенный коэффициент 1,5 по затратам на НИОКР (в том числе не давшим положительного результата) по перечню направлений таких НИОКР</w:t>
      </w:r>
      <w:r>
        <w:t xml:space="preserve"> в связи с тем, что не проводят таких исследований либо «не подпадают под данную норму». Одна из компаний ответила, что не использует льготу, т.к. «НИОКР в РФ не разрабатывается». В целом льготой пользуется </w:t>
      </w:r>
      <w:r w:rsidR="000A7D49">
        <w:t xml:space="preserve">менее </w:t>
      </w:r>
      <w:r>
        <w:t>четверт</w:t>
      </w:r>
      <w:r w:rsidR="000A7D49">
        <w:t>и</w:t>
      </w:r>
      <w:r>
        <w:t xml:space="preserve"> опрошенных компаний. </w:t>
      </w:r>
    </w:p>
    <w:p w:rsidR="005D0D81" w:rsidRDefault="00926CA7" w:rsidP="00D24AB4">
      <w:r w:rsidRPr="00926CA7">
        <w:rPr>
          <w:b/>
        </w:rPr>
        <w:t xml:space="preserve">Возможность выбора начисления амортизации методом убывающего остатка по укрупненным амортизационным группам (пулам) </w:t>
      </w:r>
      <w:r>
        <w:t xml:space="preserve">не </w:t>
      </w:r>
      <w:r>
        <w:lastRenderedPageBreak/>
        <w:t>используется компаниями из-за сложности администрирования</w:t>
      </w:r>
      <w:r w:rsidR="00396BAC">
        <w:t xml:space="preserve"> либо экономических особенностей</w:t>
      </w:r>
      <w:r w:rsidR="005E4B11">
        <w:t>,</w:t>
      </w:r>
      <w:r w:rsidR="00396BAC">
        <w:t xml:space="preserve"> </w:t>
      </w:r>
      <w:r w:rsidR="005E4B11">
        <w:t>при этом преобладают экономические причины («</w:t>
      </w:r>
      <w:r w:rsidR="00396BAC">
        <w:t>нет таких групп», используется линейный способ</w:t>
      </w:r>
      <w:r w:rsidR="005F5C82">
        <w:t>, есть «сложности учета и адаптации программного обеспечения»</w:t>
      </w:r>
      <w:r w:rsidR="00396BAC">
        <w:t>)</w:t>
      </w:r>
      <w:r>
        <w:t xml:space="preserve">. </w:t>
      </w:r>
      <w:r w:rsidR="006F6803">
        <w:t xml:space="preserve">Льгота востребована </w:t>
      </w:r>
      <w:r w:rsidR="000A7D49">
        <w:t>менее, чем</w:t>
      </w:r>
      <w:r w:rsidR="00D4778F">
        <w:t xml:space="preserve"> </w:t>
      </w:r>
      <w:r w:rsidR="008526B1">
        <w:t>20 %</w:t>
      </w:r>
      <w:r w:rsidR="006F6803">
        <w:t xml:space="preserve"> компанией из </w:t>
      </w:r>
      <w:r w:rsidR="0038692D">
        <w:t xml:space="preserve">числа </w:t>
      </w:r>
      <w:r w:rsidR="006F6803">
        <w:t>опрошенных.</w:t>
      </w:r>
    </w:p>
    <w:p w:rsidR="00396BAC" w:rsidRDefault="00396BAC" w:rsidP="00D24AB4">
      <w:r w:rsidRPr="00396BAC">
        <w:rPr>
          <w:b/>
        </w:rPr>
        <w:t>Специальный повышающий коэффициент (не более 3) в отношении амортизируемых ОС, используемых только для научно-технической деятельности</w:t>
      </w:r>
      <w:r>
        <w:t xml:space="preserve">, востребован только </w:t>
      </w:r>
      <w:r w:rsidR="000A7D49">
        <w:t>двумя</w:t>
      </w:r>
      <w:r>
        <w:t xml:space="preserve"> компани</w:t>
      </w:r>
      <w:r w:rsidR="000A7D49">
        <w:t>ями</w:t>
      </w:r>
      <w:r>
        <w:t>. У остальных –</w:t>
      </w:r>
      <w:r w:rsidR="003D7774">
        <w:t xml:space="preserve"> </w:t>
      </w:r>
      <w:r>
        <w:t xml:space="preserve">экономические </w:t>
      </w:r>
      <w:r w:rsidR="00A52906">
        <w:t xml:space="preserve">либо внутрифирменные </w:t>
      </w:r>
      <w:r>
        <w:t>ограничения для использования (</w:t>
      </w:r>
      <w:r w:rsidR="00A52906" w:rsidRPr="003D7774">
        <w:rPr>
          <w:i/>
        </w:rPr>
        <w:t xml:space="preserve">в частности: </w:t>
      </w:r>
      <w:r w:rsidRPr="003D7774">
        <w:rPr>
          <w:i/>
        </w:rPr>
        <w:t>«не подпадаем под данную норму»</w:t>
      </w:r>
      <w:r w:rsidR="000B460C" w:rsidRPr="003D7774">
        <w:rPr>
          <w:i/>
        </w:rPr>
        <w:t>,</w:t>
      </w:r>
      <w:r w:rsidR="00595807" w:rsidRPr="003D7774">
        <w:rPr>
          <w:i/>
        </w:rPr>
        <w:t xml:space="preserve"> «нет указанных ОС», </w:t>
      </w:r>
      <w:r w:rsidR="000B460C" w:rsidRPr="003D7774">
        <w:rPr>
          <w:i/>
        </w:rPr>
        <w:t>«согласно учетной политике повышающие коэффициенты не применяются»</w:t>
      </w:r>
      <w:r>
        <w:t>).</w:t>
      </w:r>
    </w:p>
    <w:p w:rsidR="00396BAC" w:rsidRDefault="00396BAC" w:rsidP="00D24AB4">
      <w:r>
        <w:t xml:space="preserve">Аналогичная ситуация с </w:t>
      </w:r>
      <w:r w:rsidRPr="00396BAC">
        <w:rPr>
          <w:b/>
        </w:rPr>
        <w:t>освобождением от НДС НИР и НИОКР, выполняемых за счет средств бюджетов и различных фондов, образуемых для этих целей, а также выполнение НИР и НИОКР учреждениями образования и научными организациями на основе хозяйственных договоров</w:t>
      </w:r>
      <w:r w:rsidRPr="00396BAC">
        <w:t xml:space="preserve"> </w:t>
      </w:r>
      <w:r w:rsidR="00A52906">
        <w:t>-</w:t>
      </w:r>
      <w:r w:rsidRPr="00396BAC">
        <w:t xml:space="preserve"> востребованность </w:t>
      </w:r>
      <w:r w:rsidR="000A7D49">
        <w:t>двумя</w:t>
      </w:r>
      <w:r w:rsidRPr="00396BAC">
        <w:t xml:space="preserve"> компани</w:t>
      </w:r>
      <w:r w:rsidR="000A7D49">
        <w:t>ями</w:t>
      </w:r>
      <w:r w:rsidR="00D4778F">
        <w:t xml:space="preserve"> (</w:t>
      </w:r>
      <w:r w:rsidR="000A7D49" w:rsidRPr="000A7D49">
        <w:rPr>
          <w:i/>
        </w:rPr>
        <w:t xml:space="preserve">одна из компаний, пользующихся этой льготой, </w:t>
      </w:r>
      <w:r w:rsidR="00D4778F" w:rsidRPr="00D4778F">
        <w:rPr>
          <w:i/>
        </w:rPr>
        <w:t xml:space="preserve">использует </w:t>
      </w:r>
      <w:r w:rsidR="000A7D49">
        <w:rPr>
          <w:i/>
        </w:rPr>
        <w:t xml:space="preserve">и </w:t>
      </w:r>
      <w:r w:rsidR="00D4778F" w:rsidRPr="00D4778F">
        <w:rPr>
          <w:i/>
        </w:rPr>
        <w:t>специальный повышающий коэффициент в отношении амортизируемых ОС для научно-технической деятельности</w:t>
      </w:r>
      <w:r w:rsidR="00D4778F">
        <w:t>)</w:t>
      </w:r>
      <w:r w:rsidRPr="00396BAC">
        <w:t xml:space="preserve"> и экономические</w:t>
      </w:r>
      <w:r w:rsidR="00A52906">
        <w:t>/внутрифирменные</w:t>
      </w:r>
      <w:r w:rsidRPr="00396BAC">
        <w:t xml:space="preserve"> ограничения для использования у остальных</w:t>
      </w:r>
      <w:r w:rsidR="000B460C">
        <w:t xml:space="preserve"> (</w:t>
      </w:r>
      <w:r w:rsidR="005E4B11">
        <w:t xml:space="preserve">например, </w:t>
      </w:r>
      <w:r w:rsidR="000B460C">
        <w:t>«нет НИОКР»)</w:t>
      </w:r>
      <w:r w:rsidRPr="00396BAC">
        <w:t>.</w:t>
      </w:r>
    </w:p>
    <w:p w:rsidR="005E4B11" w:rsidRDefault="008526B1" w:rsidP="005E4B11">
      <w:r>
        <w:t>Одна компания</w:t>
      </w:r>
      <w:r w:rsidR="005E4B11">
        <w:t xml:space="preserve"> использует </w:t>
      </w:r>
      <w:r w:rsidR="005E4B11" w:rsidRPr="005D7EFF">
        <w:rPr>
          <w:b/>
        </w:rPr>
        <w:t>пониженный тариф страховых взносов в ПФР (18%) на период 2011 и 2012 годов, установленный для организаций и индивидуальных предпринимателей, применяющих упрощенную систему налогообложения, основным видом экономической деятельности которых является производственная и социальная сферы</w:t>
      </w:r>
      <w:r w:rsidR="005E4B11">
        <w:rPr>
          <w:b/>
        </w:rPr>
        <w:t xml:space="preserve"> </w:t>
      </w:r>
      <w:r w:rsidR="005E4B11" w:rsidRPr="00A52906">
        <w:t>(</w:t>
      </w:r>
      <w:r w:rsidR="005E4B11" w:rsidRPr="00D4778F">
        <w:rPr>
          <w:i/>
        </w:rPr>
        <w:t>остальные компании не используют упрощенную систему налогообложения</w:t>
      </w:r>
      <w:r w:rsidR="005E4B11" w:rsidRPr="00A52906">
        <w:t xml:space="preserve">). </w:t>
      </w:r>
      <w:r w:rsidR="003D7774">
        <w:t>Компании, не</w:t>
      </w:r>
      <w:r w:rsidR="005E4B11">
        <w:t xml:space="preserve"> подпада</w:t>
      </w:r>
      <w:r w:rsidR="003D7774">
        <w:t>ющие</w:t>
      </w:r>
      <w:r w:rsidR="005E4B11">
        <w:t xml:space="preserve"> под данную льготу, говорят о необходимости снижения страховых взносов.</w:t>
      </w:r>
    </w:p>
    <w:p w:rsidR="00645ABA" w:rsidRDefault="00645ABA" w:rsidP="00645ABA">
      <w:r w:rsidRPr="00645ABA">
        <w:t>Об использовании</w:t>
      </w:r>
      <w:r>
        <w:rPr>
          <w:b/>
        </w:rPr>
        <w:t xml:space="preserve"> о</w:t>
      </w:r>
      <w:r w:rsidRPr="006D67F3">
        <w:rPr>
          <w:b/>
        </w:rPr>
        <w:t>свобождени</w:t>
      </w:r>
      <w:r>
        <w:rPr>
          <w:b/>
        </w:rPr>
        <w:t>я</w:t>
      </w:r>
      <w:r w:rsidRPr="006D67F3">
        <w:rPr>
          <w:b/>
        </w:rPr>
        <w:t xml:space="preserve"> от налога на прибыль организаций дохода от реализации ценных бумаг, не обращающихся на организованном </w:t>
      </w:r>
      <w:r w:rsidRPr="006D67F3">
        <w:rPr>
          <w:b/>
        </w:rPr>
        <w:lastRenderedPageBreak/>
        <w:t>рынке ценных бумаг, а также обращающихся акций высокотехнологичных компаний, при условии срока владения такими бумагами не менее 5 лет</w:t>
      </w:r>
      <w:r w:rsidRPr="00645ABA">
        <w:t xml:space="preserve"> заявили </w:t>
      </w:r>
      <w:r w:rsidR="00D4778F">
        <w:t xml:space="preserve">около </w:t>
      </w:r>
      <w:r w:rsidRPr="00645ABA">
        <w:t>20 % компаний</w:t>
      </w:r>
      <w:r>
        <w:t>.</w:t>
      </w:r>
      <w:r w:rsidRPr="00BB5DE5">
        <w:t xml:space="preserve"> </w:t>
      </w:r>
      <w:r>
        <w:t>Причиной неиспользования являются экономические причины или отсутствие таких операций. Вместе с тем, как правильно отмечают опрошенные компании, реально применить эту льготу можно будет только после 2016 года.</w:t>
      </w:r>
    </w:p>
    <w:p w:rsidR="005E4B11" w:rsidRDefault="005E4B11" w:rsidP="005E4B11"/>
    <w:p w:rsidR="00774E1F" w:rsidRPr="005E4B11" w:rsidRDefault="00774E1F" w:rsidP="00D24AB4">
      <w:pPr>
        <w:rPr>
          <w:b/>
          <w:i/>
        </w:rPr>
      </w:pPr>
      <w:r w:rsidRPr="005E4B11">
        <w:rPr>
          <w:b/>
          <w:i/>
        </w:rPr>
        <w:t>Льготы, не востребованные ни одной компанией из числа опрошенных:</w:t>
      </w:r>
    </w:p>
    <w:p w:rsidR="00595807" w:rsidRDefault="005D7EFF" w:rsidP="005D7EFF">
      <w:pPr>
        <w:rPr>
          <w:b/>
        </w:rPr>
      </w:pPr>
      <w:r w:rsidRPr="005D7EFF">
        <w:rPr>
          <w:b/>
        </w:rPr>
        <w:t>увеличение в 3 раза (до 1,5%) норматива отчислений на формирование Российского фонда технологического развития, а также иных отраслевых и межотраслевых фондов</w:t>
      </w:r>
      <w:r w:rsidR="00595807">
        <w:rPr>
          <w:b/>
        </w:rPr>
        <w:t xml:space="preserve"> </w:t>
      </w:r>
      <w:r w:rsidR="005E4B11" w:rsidRPr="005E4B11">
        <w:t xml:space="preserve">(не востребовано </w:t>
      </w:r>
      <w:r w:rsidR="00595807">
        <w:t>по экономическим причинам</w:t>
      </w:r>
      <w:r w:rsidR="005E4B11">
        <w:t>, в частности</w:t>
      </w:r>
      <w:r w:rsidR="00595807" w:rsidRPr="00595807">
        <w:t xml:space="preserve"> </w:t>
      </w:r>
      <w:r w:rsidR="005E4B11">
        <w:t>«</w:t>
      </w:r>
      <w:r w:rsidR="00595807" w:rsidRPr="00595807">
        <w:t>отчисления в межотраслевые фонды не производятся</w:t>
      </w:r>
      <w:r w:rsidR="005E4B11">
        <w:t>»);</w:t>
      </w:r>
    </w:p>
    <w:p w:rsidR="005D7EFF" w:rsidRDefault="005E4B11" w:rsidP="005D7EFF">
      <w:r>
        <w:rPr>
          <w:b/>
        </w:rPr>
        <w:t>у</w:t>
      </w:r>
      <w:r w:rsidR="005D7EFF" w:rsidRPr="005D7EFF">
        <w:rPr>
          <w:b/>
        </w:rPr>
        <w:t>становление льготных ставок обязательных страховых взносов для IT-компаний, для резидентов ТВЗ, для малых инновационных предприятий</w:t>
      </w:r>
      <w:r w:rsidR="005D7EFF">
        <w:t xml:space="preserve"> </w:t>
      </w:r>
      <w:r>
        <w:t>(</w:t>
      </w:r>
      <w:r w:rsidR="008B5563">
        <w:t>в</w:t>
      </w:r>
      <w:r w:rsidR="005D7EFF">
        <w:t xml:space="preserve"> выборку не попали компании, которые имеют п</w:t>
      </w:r>
      <w:r>
        <w:t>раво на получение данных льгот);</w:t>
      </w:r>
    </w:p>
    <w:p w:rsidR="00277E7B" w:rsidRDefault="005E4B11" w:rsidP="005D7EFF">
      <w:r w:rsidRPr="00277E7B">
        <w:rPr>
          <w:b/>
        </w:rPr>
        <w:t>льготы по освобождению от налогообложения доходов</w:t>
      </w:r>
      <w:r w:rsidRPr="00277E7B">
        <w:t xml:space="preserve"> </w:t>
      </w:r>
      <w:r w:rsidR="00277E7B" w:rsidRPr="00277E7B">
        <w:rPr>
          <w:b/>
        </w:rPr>
        <w:t>организаций, оказывающих услуги в сфере образования и здравоохранения</w:t>
      </w:r>
      <w:r w:rsidRPr="005E4B11">
        <w:t xml:space="preserve"> </w:t>
      </w:r>
      <w:r w:rsidR="008B5563">
        <w:t>(в выборку не попали компании, которые имеют право на получение данных льгот)</w:t>
      </w:r>
      <w:r w:rsidR="00277E7B">
        <w:t>.</w:t>
      </w:r>
    </w:p>
    <w:p w:rsidR="00396BAC" w:rsidRDefault="00396BAC" w:rsidP="00396BAC">
      <w:r w:rsidRPr="005D0D81">
        <w:rPr>
          <w:b/>
        </w:rPr>
        <w:t>льготны</w:t>
      </w:r>
      <w:r w:rsidR="005E4B11">
        <w:rPr>
          <w:b/>
        </w:rPr>
        <w:t>й</w:t>
      </w:r>
      <w:r w:rsidRPr="005D0D81">
        <w:rPr>
          <w:b/>
        </w:rPr>
        <w:t xml:space="preserve"> налоговы</w:t>
      </w:r>
      <w:r w:rsidR="005E4B11">
        <w:rPr>
          <w:b/>
        </w:rPr>
        <w:t>й</w:t>
      </w:r>
      <w:r w:rsidRPr="005D0D81">
        <w:rPr>
          <w:b/>
        </w:rPr>
        <w:t xml:space="preserve"> режим для резидентов инновационного центра «Сколково»</w:t>
      </w:r>
      <w:r w:rsidR="005E4B11">
        <w:rPr>
          <w:b/>
        </w:rPr>
        <w:t xml:space="preserve"> </w:t>
      </w:r>
      <w:r w:rsidR="008526B1">
        <w:t>(в выборку не попали компании, которые имеют право на получение данных льгот)</w:t>
      </w:r>
      <w:r>
        <w:t>.</w:t>
      </w:r>
    </w:p>
    <w:p w:rsidR="009A74CE" w:rsidRDefault="009A74CE" w:rsidP="00396BAC"/>
    <w:p w:rsidR="004773AE" w:rsidRPr="004773AE" w:rsidRDefault="004773AE" w:rsidP="00396BAC">
      <w:pPr>
        <w:rPr>
          <w:b/>
        </w:rPr>
      </w:pPr>
      <w:r w:rsidRPr="004773AE">
        <w:rPr>
          <w:b/>
        </w:rPr>
        <w:t>Секторальный анализ</w:t>
      </w:r>
    </w:p>
    <w:p w:rsidR="004773AE" w:rsidRDefault="00464B39" w:rsidP="00396BAC">
      <w:r>
        <w:t>Достаточно</w:t>
      </w:r>
      <w:r w:rsidR="004773AE">
        <w:t xml:space="preserve"> репрезентативная выборка (</w:t>
      </w:r>
      <w:r>
        <w:t xml:space="preserve">применительно к данному опросу - </w:t>
      </w:r>
      <w:r w:rsidR="004773AE">
        <w:t>около 10 компаний) получена по двум секторам (металлургия и ТЭК), по</w:t>
      </w:r>
      <w:r>
        <w:t xml:space="preserve"> которым проанализирована </w:t>
      </w:r>
      <w:r w:rsidR="004773AE">
        <w:t>отраслевая специфика в части льгот, где наблюдаются значимые отклонения от средних показателей.</w:t>
      </w:r>
    </w:p>
    <w:p w:rsidR="004773AE" w:rsidRDefault="004773AE" w:rsidP="005F5C82">
      <w:r>
        <w:lastRenderedPageBreak/>
        <w:t xml:space="preserve">Все </w:t>
      </w:r>
      <w:r w:rsidR="00065BF9">
        <w:t xml:space="preserve">опрошенные </w:t>
      </w:r>
      <w:r>
        <w:t xml:space="preserve">компании металлургического сектора </w:t>
      </w:r>
      <w:r w:rsidR="00065BF9">
        <w:t>пользуются такой льготой как о</w:t>
      </w:r>
      <w:r w:rsidR="00065BF9" w:rsidRPr="00065BF9">
        <w:t>свобожден</w:t>
      </w:r>
      <w:r w:rsidR="00065BF9">
        <w:t>ие от налогообложения затрат</w:t>
      </w:r>
      <w:r w:rsidR="00065BF9" w:rsidRPr="00065BF9">
        <w:t xml:space="preserve"> работодателей на обучение сотрудников</w:t>
      </w:r>
      <w:r w:rsidR="00065BF9">
        <w:t>. У сектора ТЭК, наоборот, доля использующих льготу компаний ниже средней по опросу почти на 20 %.</w:t>
      </w:r>
    </w:p>
    <w:p w:rsidR="00065BF9" w:rsidRDefault="00065BF9" w:rsidP="005F5C82">
      <w:r>
        <w:t xml:space="preserve">Ни одна из компаний ТЭК не использует </w:t>
      </w:r>
      <w:r w:rsidRPr="00065BF9">
        <w:t xml:space="preserve">повышенный коэффициент 1,5 по затратам на НИОКР (в том числе не давшим положительного результата) по перечню направлений таких НИОКР </w:t>
      </w:r>
      <w:r>
        <w:t>(</w:t>
      </w:r>
      <w:r w:rsidRPr="00065BF9">
        <w:rPr>
          <w:i/>
        </w:rPr>
        <w:t>у металлургов – средние по опросу значения</w:t>
      </w:r>
      <w:r>
        <w:t>).</w:t>
      </w:r>
    </w:p>
    <w:p w:rsidR="005F5C82" w:rsidRDefault="00065BF9" w:rsidP="00396BAC">
      <w:r>
        <w:t>У</w:t>
      </w:r>
      <w:r w:rsidRPr="00065BF9">
        <w:t>скоренны</w:t>
      </w:r>
      <w:r>
        <w:t>м</w:t>
      </w:r>
      <w:r w:rsidRPr="00065BF9">
        <w:t xml:space="preserve"> (заявительны</w:t>
      </w:r>
      <w:r>
        <w:t>м) поряд</w:t>
      </w:r>
      <w:r w:rsidRPr="00065BF9">
        <w:t>к</w:t>
      </w:r>
      <w:r>
        <w:t>ом</w:t>
      </w:r>
      <w:r w:rsidRPr="00065BF9">
        <w:t xml:space="preserve"> возмещения НДС</w:t>
      </w:r>
      <w:r>
        <w:t xml:space="preserve"> и компании ТЭК, и металлургические компании пользуются приблизительно на 15 % чаще, чем в среднем по опросу.</w:t>
      </w:r>
    </w:p>
    <w:p w:rsidR="00065BF9" w:rsidRDefault="00065BF9" w:rsidP="00396BAC">
      <w:r>
        <w:t xml:space="preserve">Ни одна из </w:t>
      </w:r>
      <w:r w:rsidR="00B96B2A">
        <w:t xml:space="preserve">опрошенных </w:t>
      </w:r>
      <w:r>
        <w:t>компаний ТЭК не пользуется о</w:t>
      </w:r>
      <w:r w:rsidRPr="00065BF9">
        <w:t>свобожден</w:t>
      </w:r>
      <w:r>
        <w:t>ием</w:t>
      </w:r>
      <w:r w:rsidRPr="00065BF9">
        <w:t xml:space="preserve"> от НДС ввоз</w:t>
      </w:r>
      <w:r>
        <w:t>а</w:t>
      </w:r>
      <w:r w:rsidRPr="00065BF9">
        <w:t xml:space="preserve"> технологического оборудования (по перечню), не имеющего аналогов в РФ</w:t>
      </w:r>
      <w:r>
        <w:t>, тогда как металлурги используют льготу почти на 20 % чаще, чем в среднем по опросу.</w:t>
      </w:r>
    </w:p>
    <w:p w:rsidR="00065BF9" w:rsidRDefault="00B96B2A" w:rsidP="00396BAC">
      <w:r>
        <w:t>В</w:t>
      </w:r>
      <w:r w:rsidR="00065BF9">
        <w:t>се опрошенные компании и ТЭК и металлургии используют такую льготу, как и</w:t>
      </w:r>
      <w:r w:rsidR="00065BF9" w:rsidRPr="00065BF9">
        <w:t>зменен</w:t>
      </w:r>
      <w:r w:rsidR="00065BF9">
        <w:t>ие поряд</w:t>
      </w:r>
      <w:r w:rsidR="00065BF9" w:rsidRPr="00065BF9">
        <w:t>к</w:t>
      </w:r>
      <w:r w:rsidR="00065BF9">
        <w:t>а</w:t>
      </w:r>
      <w:r w:rsidR="00065BF9" w:rsidRPr="00065BF9">
        <w:t xml:space="preserve"> принятия НДС к вычету по капитальному строительству</w:t>
      </w:r>
      <w:r w:rsidR="00065BF9">
        <w:t>.</w:t>
      </w:r>
    </w:p>
    <w:p w:rsidR="00065BF9" w:rsidRDefault="00B96B2A" w:rsidP="00065BF9">
      <w:r>
        <w:t>В</w:t>
      </w:r>
      <w:r w:rsidR="00065BF9">
        <w:t xml:space="preserve">се </w:t>
      </w:r>
      <w:r>
        <w:t xml:space="preserve">опрошенные </w:t>
      </w:r>
      <w:r w:rsidR="00065BF9">
        <w:t>компании ТЭК используют амортизационн</w:t>
      </w:r>
      <w:r w:rsidR="00464B39">
        <w:t>ую</w:t>
      </w:r>
      <w:r w:rsidR="00065BF9">
        <w:t xml:space="preserve"> преми</w:t>
      </w:r>
      <w:r w:rsidR="00464B39">
        <w:t>ю</w:t>
      </w:r>
      <w:r w:rsidR="00065BF9">
        <w:t xml:space="preserve"> по налогу на прибыль в размере 10% и увеличенн</w:t>
      </w:r>
      <w:r w:rsidR="00464B39">
        <w:t>ую</w:t>
      </w:r>
      <w:r w:rsidR="00065BF9">
        <w:t xml:space="preserve"> амортизационн</w:t>
      </w:r>
      <w:r w:rsidR="00464B39">
        <w:t>ую</w:t>
      </w:r>
      <w:r w:rsidR="00065BF9">
        <w:t xml:space="preserve"> преми</w:t>
      </w:r>
      <w:r w:rsidR="00464B39">
        <w:t>ю</w:t>
      </w:r>
      <w:r w:rsidR="00065BF9">
        <w:t xml:space="preserve"> до 30% для основных средств 3-7 группы </w:t>
      </w:r>
      <w:r w:rsidR="00464B39">
        <w:t>со</w:t>
      </w:r>
      <w:r w:rsidR="00065BF9">
        <w:t xml:space="preserve"> срок</w:t>
      </w:r>
      <w:r w:rsidR="00464B39">
        <w:t>ом</w:t>
      </w:r>
      <w:r w:rsidR="00065BF9">
        <w:t xml:space="preserve"> полезного использования 3-20 лет. При этом компании </w:t>
      </w:r>
      <w:r w:rsidR="003E4613">
        <w:t xml:space="preserve">металлургического сектора реже пользуются этими льготами, чем в среднем по опросу, хотя разница не столь значительна (10 %). </w:t>
      </w:r>
    </w:p>
    <w:p w:rsidR="003E4613" w:rsidRDefault="003E4613" w:rsidP="003E4613">
      <w:r>
        <w:t xml:space="preserve">Компании ТЭК немного чаще, чем в среднем по опросу, пользуются возможностью </w:t>
      </w:r>
      <w:r w:rsidRPr="003E4613">
        <w:t>выбора начисления амортизации методом убывающего остатка по укрупненным амортизационным группам (пулам)</w:t>
      </w:r>
      <w:r>
        <w:t xml:space="preserve"> (</w:t>
      </w:r>
      <w:r w:rsidRPr="00065BF9">
        <w:rPr>
          <w:i/>
        </w:rPr>
        <w:t>у металлургов – средние по опросу значения</w:t>
      </w:r>
      <w:r>
        <w:t>).</w:t>
      </w:r>
    </w:p>
    <w:p w:rsidR="003E4613" w:rsidRDefault="0012030E" w:rsidP="00065BF9">
      <w:r>
        <w:t>Ни одна из компаний ТЭК не пользуется с</w:t>
      </w:r>
      <w:r w:rsidRPr="0012030E">
        <w:t>пециальны</w:t>
      </w:r>
      <w:r>
        <w:t>м</w:t>
      </w:r>
      <w:r w:rsidRPr="0012030E">
        <w:t xml:space="preserve"> повышающи</w:t>
      </w:r>
      <w:r>
        <w:t>м</w:t>
      </w:r>
      <w:r w:rsidRPr="0012030E">
        <w:t xml:space="preserve"> коэффициент</w:t>
      </w:r>
      <w:r>
        <w:t>ом</w:t>
      </w:r>
      <w:r w:rsidRPr="0012030E">
        <w:t xml:space="preserve"> (не более 3) в отношении амортизируемых ОС, используемых </w:t>
      </w:r>
      <w:r w:rsidRPr="0012030E">
        <w:lastRenderedPageBreak/>
        <w:t>только для научно-технической деятельности</w:t>
      </w:r>
      <w:r>
        <w:t xml:space="preserve"> (</w:t>
      </w:r>
      <w:r w:rsidRPr="0012030E">
        <w:rPr>
          <w:i/>
        </w:rPr>
        <w:t>у металлургов эту льготу использует 1 компания</w:t>
      </w:r>
      <w:r>
        <w:t>).</w:t>
      </w:r>
    </w:p>
    <w:p w:rsidR="0012030E" w:rsidRDefault="0012030E" w:rsidP="00065BF9">
      <w:r>
        <w:t>При этом обе компании из числа опрошенных, использующие освобождение</w:t>
      </w:r>
      <w:r w:rsidRPr="0012030E">
        <w:t xml:space="preserve"> от НДС НИР и НИОКР, выполняемы</w:t>
      </w:r>
      <w:r>
        <w:t>х</w:t>
      </w:r>
      <w:r w:rsidRPr="0012030E">
        <w:t xml:space="preserve"> за счет средств бюджетов и различных фондов, образуемых для этих целей, а также выполнени</w:t>
      </w:r>
      <w:r>
        <w:t>я</w:t>
      </w:r>
      <w:r w:rsidRPr="0012030E">
        <w:t xml:space="preserve"> НИР и НИОКР учреждениями образования и научными организациями на основе хозяйственных договоров</w:t>
      </w:r>
      <w:r>
        <w:t>, относятся к металлургическому сектору.</w:t>
      </w:r>
    </w:p>
    <w:p w:rsidR="0012030E" w:rsidRDefault="0012030E" w:rsidP="00065BF9">
      <w:r>
        <w:t>Компании из сектора ТЭК и металлургии на 20 % чаще, чем в среднем по опросу, используют такую льготу, как и</w:t>
      </w:r>
      <w:r w:rsidRPr="0012030E">
        <w:t>сключение требования о стоимости вклада (доли) в уставный капитал - не менее 500 млн. руб. для подтверждения права на применение нулевой ставки по налогу на прибыль</w:t>
      </w:r>
      <w:r>
        <w:t>.</w:t>
      </w:r>
    </w:p>
    <w:sectPr w:rsidR="0012030E" w:rsidSect="001E3BA3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19" w:rsidRDefault="00511E19" w:rsidP="009D6746">
      <w:pPr>
        <w:spacing w:line="240" w:lineRule="auto"/>
      </w:pPr>
      <w:r>
        <w:separator/>
      </w:r>
    </w:p>
  </w:endnote>
  <w:endnote w:type="continuationSeparator" w:id="0">
    <w:p w:rsidR="00511E19" w:rsidRDefault="00511E19" w:rsidP="009D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19" w:rsidRDefault="00511E19" w:rsidP="009D6746">
      <w:pPr>
        <w:spacing w:line="240" w:lineRule="auto"/>
      </w:pPr>
      <w:r>
        <w:separator/>
      </w:r>
    </w:p>
  </w:footnote>
  <w:footnote w:type="continuationSeparator" w:id="0">
    <w:p w:rsidR="00511E19" w:rsidRDefault="00511E19" w:rsidP="009D67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119"/>
      <w:docPartObj>
        <w:docPartGallery w:val="Page Numbers (Top of Page)"/>
        <w:docPartUnique/>
      </w:docPartObj>
    </w:sdtPr>
    <w:sdtContent>
      <w:p w:rsidR="00065BF9" w:rsidRDefault="00FD459E">
        <w:pPr>
          <w:pStyle w:val="a3"/>
          <w:jc w:val="center"/>
        </w:pPr>
        <w:fldSimple w:instr=" PAGE   \* MERGEFORMAT ">
          <w:r w:rsidR="00866C4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B4"/>
    <w:rsid w:val="000105A7"/>
    <w:rsid w:val="00065BF9"/>
    <w:rsid w:val="0009476F"/>
    <w:rsid w:val="0009689D"/>
    <w:rsid w:val="000A36DD"/>
    <w:rsid w:val="000A7D49"/>
    <w:rsid w:val="000B460C"/>
    <w:rsid w:val="000E5CC7"/>
    <w:rsid w:val="000F6062"/>
    <w:rsid w:val="0012030E"/>
    <w:rsid w:val="00194103"/>
    <w:rsid w:val="001B05A3"/>
    <w:rsid w:val="001D6546"/>
    <w:rsid w:val="001E3724"/>
    <w:rsid w:val="001E3BA3"/>
    <w:rsid w:val="002315DA"/>
    <w:rsid w:val="00235721"/>
    <w:rsid w:val="00263E90"/>
    <w:rsid w:val="00277E7B"/>
    <w:rsid w:val="00281545"/>
    <w:rsid w:val="00285C98"/>
    <w:rsid w:val="00287A43"/>
    <w:rsid w:val="0029170F"/>
    <w:rsid w:val="002A6060"/>
    <w:rsid w:val="002B0590"/>
    <w:rsid w:val="002B089C"/>
    <w:rsid w:val="002B4BB9"/>
    <w:rsid w:val="002E770F"/>
    <w:rsid w:val="002F2E77"/>
    <w:rsid w:val="00302F68"/>
    <w:rsid w:val="00317ECC"/>
    <w:rsid w:val="00335D91"/>
    <w:rsid w:val="003400A1"/>
    <w:rsid w:val="00357805"/>
    <w:rsid w:val="00375D84"/>
    <w:rsid w:val="0038692D"/>
    <w:rsid w:val="00396BAC"/>
    <w:rsid w:val="003D508B"/>
    <w:rsid w:val="003D7774"/>
    <w:rsid w:val="003E4613"/>
    <w:rsid w:val="003E7F74"/>
    <w:rsid w:val="0040158B"/>
    <w:rsid w:val="00413BB7"/>
    <w:rsid w:val="00446433"/>
    <w:rsid w:val="00461021"/>
    <w:rsid w:val="0046419F"/>
    <w:rsid w:val="00464B39"/>
    <w:rsid w:val="004773AE"/>
    <w:rsid w:val="004F184E"/>
    <w:rsid w:val="004F53CE"/>
    <w:rsid w:val="00506F3E"/>
    <w:rsid w:val="00511E19"/>
    <w:rsid w:val="00554CB9"/>
    <w:rsid w:val="005929A4"/>
    <w:rsid w:val="00595807"/>
    <w:rsid w:val="005D0D81"/>
    <w:rsid w:val="005D7EFF"/>
    <w:rsid w:val="005E4B11"/>
    <w:rsid w:val="005F2F7B"/>
    <w:rsid w:val="005F5C82"/>
    <w:rsid w:val="00645ABA"/>
    <w:rsid w:val="006C40AE"/>
    <w:rsid w:val="006C5682"/>
    <w:rsid w:val="006D3FA3"/>
    <w:rsid w:val="006D67F3"/>
    <w:rsid w:val="006F4FA9"/>
    <w:rsid w:val="006F6803"/>
    <w:rsid w:val="00740303"/>
    <w:rsid w:val="00774E1F"/>
    <w:rsid w:val="00780EAA"/>
    <w:rsid w:val="007A6526"/>
    <w:rsid w:val="00822681"/>
    <w:rsid w:val="00834959"/>
    <w:rsid w:val="008526B1"/>
    <w:rsid w:val="00866C46"/>
    <w:rsid w:val="00886C66"/>
    <w:rsid w:val="008A3F28"/>
    <w:rsid w:val="008B5563"/>
    <w:rsid w:val="0090086F"/>
    <w:rsid w:val="00903F0B"/>
    <w:rsid w:val="00926CA7"/>
    <w:rsid w:val="009430C1"/>
    <w:rsid w:val="00962401"/>
    <w:rsid w:val="009A74CE"/>
    <w:rsid w:val="009B332D"/>
    <w:rsid w:val="009D6746"/>
    <w:rsid w:val="00A3433C"/>
    <w:rsid w:val="00A421AC"/>
    <w:rsid w:val="00A52906"/>
    <w:rsid w:val="00A8356D"/>
    <w:rsid w:val="00A92A52"/>
    <w:rsid w:val="00AE7370"/>
    <w:rsid w:val="00B96B2A"/>
    <w:rsid w:val="00BB5CF3"/>
    <w:rsid w:val="00BB5DE5"/>
    <w:rsid w:val="00C123D3"/>
    <w:rsid w:val="00C17462"/>
    <w:rsid w:val="00C912A9"/>
    <w:rsid w:val="00CA4D03"/>
    <w:rsid w:val="00CD6D89"/>
    <w:rsid w:val="00CE2791"/>
    <w:rsid w:val="00CF0AD9"/>
    <w:rsid w:val="00CF1FA4"/>
    <w:rsid w:val="00CF6B46"/>
    <w:rsid w:val="00D24AB4"/>
    <w:rsid w:val="00D35D5F"/>
    <w:rsid w:val="00D4778F"/>
    <w:rsid w:val="00DD26DF"/>
    <w:rsid w:val="00DF76B9"/>
    <w:rsid w:val="00E15078"/>
    <w:rsid w:val="00E462C2"/>
    <w:rsid w:val="00E626AB"/>
    <w:rsid w:val="00E64359"/>
    <w:rsid w:val="00E80C57"/>
    <w:rsid w:val="00EA1FEB"/>
    <w:rsid w:val="00ED303A"/>
    <w:rsid w:val="00ED52B3"/>
    <w:rsid w:val="00F061CE"/>
    <w:rsid w:val="00F8409E"/>
    <w:rsid w:val="00FB7850"/>
    <w:rsid w:val="00FD459E"/>
    <w:rsid w:val="00FD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7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746"/>
  </w:style>
  <w:style w:type="paragraph" w:styleId="a5">
    <w:name w:val="footer"/>
    <w:basedOn w:val="a"/>
    <w:link w:val="a6"/>
    <w:uiPriority w:val="99"/>
    <w:semiHidden/>
    <w:unhideWhenUsed/>
    <w:rsid w:val="009D67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37B3-0207-415F-A632-ADFCF1F8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1481</Words>
  <Characters>9847</Characters>
  <Application>Microsoft Office Word</Application>
  <DocSecurity>0</DocSecurity>
  <Lines>191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GluhovaMN</dc:creator>
  <cp:lastModifiedBy>GluhovaMN</cp:lastModifiedBy>
  <cp:revision>39</cp:revision>
  <cp:lastPrinted>2011-05-03T14:01:00Z</cp:lastPrinted>
  <dcterms:created xsi:type="dcterms:W3CDTF">2011-04-25T06:22:00Z</dcterms:created>
  <dcterms:modified xsi:type="dcterms:W3CDTF">2011-05-03T14:01:00Z</dcterms:modified>
</cp:coreProperties>
</file>