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22" w:rsidRPr="00F22713" w:rsidRDefault="00F22713" w:rsidP="00F22713">
      <w:pPr>
        <w:jc w:val="center"/>
        <w:rPr>
          <w:b/>
          <w:szCs w:val="28"/>
        </w:rPr>
      </w:pPr>
      <w:r w:rsidRPr="00F22713">
        <w:rPr>
          <w:b/>
          <w:szCs w:val="28"/>
        </w:rPr>
        <w:t xml:space="preserve">Ключевые предложения Российского союза промышленников и предпринимателей по улучшению предпринимательского климата и возможным направлениям взаимодействия с органами власти, сформированные по итогам форумов Недели российского бизнеса и принятые на </w:t>
      </w:r>
      <w:r w:rsidR="001E1DEB" w:rsidRPr="00F22713">
        <w:rPr>
          <w:b/>
          <w:szCs w:val="28"/>
          <w:lang w:val="en-US"/>
        </w:rPr>
        <w:t>XXVII</w:t>
      </w:r>
      <w:r w:rsidR="001E1DEB" w:rsidRPr="00F22713">
        <w:rPr>
          <w:b/>
          <w:szCs w:val="28"/>
        </w:rPr>
        <w:t xml:space="preserve"> (</w:t>
      </w:r>
      <w:r w:rsidR="001E1DEB" w:rsidRPr="00F22713">
        <w:rPr>
          <w:b/>
          <w:szCs w:val="28"/>
          <w:lang w:val="en-US"/>
        </w:rPr>
        <w:t>XII</w:t>
      </w:r>
      <w:r w:rsidR="001E1DEB" w:rsidRPr="00F22713">
        <w:rPr>
          <w:b/>
          <w:szCs w:val="28"/>
        </w:rPr>
        <w:t>)</w:t>
      </w:r>
      <w:r w:rsidR="00A86407" w:rsidRPr="00F22713">
        <w:rPr>
          <w:b/>
          <w:szCs w:val="28"/>
        </w:rPr>
        <w:t xml:space="preserve"> </w:t>
      </w:r>
      <w:r w:rsidR="001E1DEB" w:rsidRPr="00F22713">
        <w:rPr>
          <w:b/>
          <w:szCs w:val="28"/>
        </w:rPr>
        <w:t>о</w:t>
      </w:r>
      <w:r w:rsidR="009612A2" w:rsidRPr="00F22713">
        <w:rPr>
          <w:b/>
          <w:szCs w:val="28"/>
        </w:rPr>
        <w:t>тчетно-выборн</w:t>
      </w:r>
      <w:r>
        <w:rPr>
          <w:b/>
          <w:szCs w:val="28"/>
        </w:rPr>
        <w:t>ом</w:t>
      </w:r>
      <w:r w:rsidR="009612A2" w:rsidRPr="00F22713">
        <w:rPr>
          <w:b/>
          <w:szCs w:val="28"/>
        </w:rPr>
        <w:t xml:space="preserve"> </w:t>
      </w:r>
      <w:r w:rsidR="007A3822" w:rsidRPr="00F22713">
        <w:rPr>
          <w:b/>
          <w:szCs w:val="28"/>
        </w:rPr>
        <w:t>Съезд</w:t>
      </w:r>
      <w:r>
        <w:rPr>
          <w:b/>
          <w:szCs w:val="28"/>
        </w:rPr>
        <w:t>е</w:t>
      </w:r>
      <w:r w:rsidR="007A3822" w:rsidRPr="00F22713">
        <w:rPr>
          <w:b/>
          <w:szCs w:val="28"/>
        </w:rPr>
        <w:t xml:space="preserve"> </w:t>
      </w:r>
      <w:r>
        <w:rPr>
          <w:b/>
          <w:szCs w:val="28"/>
        </w:rPr>
        <w:t>РСПП</w:t>
      </w:r>
      <w:bookmarkStart w:id="0" w:name="_GoBack"/>
      <w:bookmarkEnd w:id="0"/>
    </w:p>
    <w:p w:rsidR="007A3822" w:rsidRDefault="007A3822" w:rsidP="007A3822">
      <w:pPr>
        <w:ind w:firstLine="708"/>
        <w:jc w:val="both"/>
        <w:rPr>
          <w:szCs w:val="28"/>
        </w:rPr>
      </w:pPr>
    </w:p>
    <w:p w:rsidR="007A3822" w:rsidRDefault="005A1F51" w:rsidP="007A3822">
      <w:pPr>
        <w:pStyle w:val="a3"/>
        <w:numPr>
          <w:ilvl w:val="0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При </w:t>
      </w:r>
      <w:r w:rsidR="008E765A">
        <w:rPr>
          <w:szCs w:val="28"/>
        </w:rPr>
        <w:t>подготовке</w:t>
      </w:r>
      <w:r>
        <w:rPr>
          <w:szCs w:val="28"/>
        </w:rPr>
        <w:t xml:space="preserve"> предложений </w:t>
      </w:r>
      <w:r w:rsidR="007A3822">
        <w:rPr>
          <w:szCs w:val="28"/>
        </w:rPr>
        <w:t>обрати</w:t>
      </w:r>
      <w:r w:rsidR="008E0D96">
        <w:rPr>
          <w:szCs w:val="28"/>
        </w:rPr>
        <w:t>ть</w:t>
      </w:r>
      <w:r w:rsidR="007A3822">
        <w:rPr>
          <w:szCs w:val="28"/>
        </w:rPr>
        <w:t xml:space="preserve"> особое внимание на следующие вопросы:</w:t>
      </w:r>
    </w:p>
    <w:p w:rsidR="00442583" w:rsidRPr="00442583" w:rsidRDefault="00442583" w:rsidP="00CF181B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Стимулирование инвестиционной активности компаний:</w:t>
      </w:r>
    </w:p>
    <w:p w:rsidR="00D9442B" w:rsidRPr="00D9442B" w:rsidRDefault="00D9442B" w:rsidP="00D9442B">
      <w:pPr>
        <w:ind w:firstLine="709"/>
        <w:jc w:val="both"/>
        <w:rPr>
          <w:szCs w:val="28"/>
        </w:rPr>
      </w:pPr>
      <w:r w:rsidRPr="00D9442B">
        <w:rPr>
          <w:szCs w:val="28"/>
        </w:rPr>
        <w:t>повышение эффективности системы фискальных стимулов для инвестиционно активных компаний на всех стадиях реализации инвестиционных проектов, включая проекты как «greenfield», так и «brownfield»;</w:t>
      </w:r>
    </w:p>
    <w:p w:rsidR="00D9442B" w:rsidRPr="00D9442B" w:rsidRDefault="00D9442B" w:rsidP="00D9442B">
      <w:pPr>
        <w:ind w:firstLine="709"/>
        <w:jc w:val="both"/>
        <w:rPr>
          <w:szCs w:val="28"/>
        </w:rPr>
      </w:pPr>
      <w:r w:rsidRPr="00D9442B">
        <w:rPr>
          <w:szCs w:val="28"/>
        </w:rPr>
        <w:t>обеспечение стабильности уровня фискальной нагрузки, определенного по согласованной бизнесом и органами власти методологии;</w:t>
      </w:r>
    </w:p>
    <w:p w:rsidR="00A86407" w:rsidRPr="00A86407" w:rsidRDefault="00A86407" w:rsidP="00A86407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A86407">
        <w:rPr>
          <w:szCs w:val="28"/>
        </w:rPr>
        <w:t>асширение практики применения стабилизационных норм</w:t>
      </w:r>
      <w:r>
        <w:rPr>
          <w:szCs w:val="28"/>
        </w:rPr>
        <w:t xml:space="preserve"> и </w:t>
      </w:r>
      <w:r w:rsidRPr="00A86407">
        <w:rPr>
          <w:szCs w:val="28"/>
        </w:rPr>
        <w:t>распростран</w:t>
      </w:r>
      <w:r>
        <w:rPr>
          <w:szCs w:val="28"/>
        </w:rPr>
        <w:t>ение</w:t>
      </w:r>
      <w:r w:rsidRPr="00A86407">
        <w:rPr>
          <w:szCs w:val="28"/>
        </w:rPr>
        <w:t xml:space="preserve"> «дедушкин</w:t>
      </w:r>
      <w:r>
        <w:rPr>
          <w:szCs w:val="28"/>
        </w:rPr>
        <w:t>ой</w:t>
      </w:r>
      <w:r w:rsidRPr="00A86407">
        <w:rPr>
          <w:szCs w:val="28"/>
        </w:rPr>
        <w:t xml:space="preserve"> оговорк</w:t>
      </w:r>
      <w:r>
        <w:rPr>
          <w:szCs w:val="28"/>
        </w:rPr>
        <w:t>и</w:t>
      </w:r>
      <w:r w:rsidRPr="00A86407">
        <w:rPr>
          <w:szCs w:val="28"/>
        </w:rPr>
        <w:t>», применяем</w:t>
      </w:r>
      <w:r>
        <w:rPr>
          <w:szCs w:val="28"/>
        </w:rPr>
        <w:t>ой</w:t>
      </w:r>
      <w:r w:rsidRPr="00A86407">
        <w:rPr>
          <w:szCs w:val="28"/>
        </w:rPr>
        <w:t xml:space="preserve"> для специальных инвестиционных контрактов, на иные налоговые режимы</w:t>
      </w:r>
      <w:r>
        <w:rPr>
          <w:szCs w:val="28"/>
        </w:rPr>
        <w:t>;</w:t>
      </w:r>
    </w:p>
    <w:p w:rsidR="00A86407" w:rsidRDefault="00A86407" w:rsidP="00A86407">
      <w:pPr>
        <w:ind w:firstLine="709"/>
        <w:jc w:val="both"/>
        <w:rPr>
          <w:szCs w:val="28"/>
        </w:rPr>
      </w:pPr>
      <w:r>
        <w:rPr>
          <w:szCs w:val="28"/>
        </w:rPr>
        <w:t>обеспечение принятия законопроектов, вносящих изменения в Налоговый кодекс Российской Федерации, исключительно в весеннюю сессию либо законодательное установление правила о вступлении в силу</w:t>
      </w:r>
      <w:r w:rsidRPr="00A86407">
        <w:rPr>
          <w:szCs w:val="28"/>
        </w:rPr>
        <w:t xml:space="preserve"> поправок в Налоговый кодекс РФ не ранее, чем по истечен</w:t>
      </w:r>
      <w:r>
        <w:rPr>
          <w:szCs w:val="28"/>
        </w:rPr>
        <w:t>ии 3 месяцев с момента принятия;</w:t>
      </w:r>
    </w:p>
    <w:p w:rsidR="00A86407" w:rsidRDefault="00A86407" w:rsidP="00D9442B">
      <w:pPr>
        <w:ind w:firstLine="709"/>
        <w:jc w:val="both"/>
        <w:rPr>
          <w:szCs w:val="28"/>
        </w:rPr>
      </w:pPr>
      <w:r>
        <w:rPr>
          <w:szCs w:val="28"/>
        </w:rPr>
        <w:t>учет пр</w:t>
      </w:r>
      <w:r w:rsidRPr="00A86407">
        <w:rPr>
          <w:szCs w:val="28"/>
        </w:rPr>
        <w:t>и предоставлении межбюджетных трансфертов субъектам Федерации их вклад</w:t>
      </w:r>
      <w:r>
        <w:rPr>
          <w:szCs w:val="28"/>
        </w:rPr>
        <w:t>а</w:t>
      </w:r>
      <w:r w:rsidRPr="00A86407">
        <w:rPr>
          <w:szCs w:val="28"/>
        </w:rPr>
        <w:t xml:space="preserve"> в стимулирование инвестиционной активности в регионе за счет предоставления пониженных налоговых ставок, оказав поддержку и</w:t>
      </w:r>
      <w:r>
        <w:rPr>
          <w:szCs w:val="28"/>
        </w:rPr>
        <w:t>нвестиционно активным субъектам;</w:t>
      </w:r>
    </w:p>
    <w:p w:rsidR="00A86407" w:rsidRDefault="00A86407" w:rsidP="00D9442B">
      <w:pPr>
        <w:ind w:firstLine="709"/>
        <w:jc w:val="both"/>
        <w:rPr>
          <w:szCs w:val="28"/>
        </w:rPr>
      </w:pPr>
      <w:r w:rsidRPr="00A86407">
        <w:rPr>
          <w:szCs w:val="28"/>
        </w:rPr>
        <w:t>внесение изменений в законодательство с целью освобождении от налогообложения организации в отношении движимого имущества, принятого с 1 января 2013 г. на учет в качестве основных средств, без необходимости принятия соответствующего закона субъекта Российской Федерации с 01.01.2019 г.</w:t>
      </w:r>
      <w:r>
        <w:rPr>
          <w:szCs w:val="28"/>
        </w:rPr>
        <w:t>;</w:t>
      </w:r>
    </w:p>
    <w:p w:rsidR="00A86407" w:rsidRDefault="00A86407" w:rsidP="00D9442B">
      <w:pPr>
        <w:ind w:firstLine="709"/>
        <w:jc w:val="both"/>
        <w:rPr>
          <w:szCs w:val="28"/>
        </w:rPr>
      </w:pPr>
      <w:r w:rsidRPr="00A86407">
        <w:rPr>
          <w:szCs w:val="28"/>
        </w:rPr>
        <w:t>внесение изменений в законодательство с целью исключения ограничения на использование инвестиционного налогового вычета консолидированн</w:t>
      </w:r>
      <w:r>
        <w:rPr>
          <w:szCs w:val="28"/>
        </w:rPr>
        <w:t>ыми группами налогоплательщиков;</w:t>
      </w:r>
    </w:p>
    <w:p w:rsidR="00D9442B" w:rsidRDefault="00D9442B" w:rsidP="00D9442B">
      <w:pPr>
        <w:ind w:firstLine="709"/>
        <w:jc w:val="both"/>
        <w:rPr>
          <w:szCs w:val="28"/>
        </w:rPr>
      </w:pPr>
      <w:r w:rsidRPr="00D9442B">
        <w:rPr>
          <w:szCs w:val="28"/>
        </w:rPr>
        <w:t>завершение работы по законодательному урегулированию системы обязательных платежей юридических лиц и индивидуальных предпринимателей, включая правила установления, исчисления и взимания таких платежей</w:t>
      </w:r>
      <w:r w:rsidR="00A86407">
        <w:rPr>
          <w:szCs w:val="28"/>
        </w:rPr>
        <w:t>, введение</w:t>
      </w:r>
      <w:r w:rsidR="00A86407" w:rsidRPr="00A86407">
        <w:rPr>
          <w:szCs w:val="28"/>
        </w:rPr>
        <w:t xml:space="preserve"> моратори</w:t>
      </w:r>
      <w:r w:rsidR="00A86407">
        <w:rPr>
          <w:szCs w:val="28"/>
        </w:rPr>
        <w:t>я</w:t>
      </w:r>
      <w:r w:rsidR="00A86407" w:rsidRPr="00A86407">
        <w:rPr>
          <w:szCs w:val="28"/>
        </w:rPr>
        <w:t xml:space="preserve"> на установление новых и увеличение существующих обязательных (неналоговых) платежей до принятия соответствующего федерального закона, в том числе дополнительных надбавок и иных платежей к тарифам субъектов естественных монополий</w:t>
      </w:r>
      <w:r w:rsidRPr="00D9442B">
        <w:rPr>
          <w:szCs w:val="28"/>
        </w:rPr>
        <w:t>;</w:t>
      </w:r>
    </w:p>
    <w:p w:rsidR="00A86407" w:rsidRDefault="00A86407" w:rsidP="00A8640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анализ практики </w:t>
      </w:r>
      <w:r w:rsidRPr="00A86407">
        <w:rPr>
          <w:szCs w:val="28"/>
        </w:rPr>
        <w:t>использование наиболее жёстких инструментов воздействия на налогоплательщиков, включая блокировку счетов</w:t>
      </w:r>
      <w:r>
        <w:rPr>
          <w:szCs w:val="28"/>
        </w:rPr>
        <w:t>, и подготовка предложений по её ограничению</w:t>
      </w:r>
      <w:r w:rsidRPr="00A86407">
        <w:rPr>
          <w:szCs w:val="28"/>
        </w:rPr>
        <w:t>;</w:t>
      </w:r>
    </w:p>
    <w:p w:rsidR="001377BE" w:rsidRDefault="001377BE" w:rsidP="00A86407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1377BE">
        <w:rPr>
          <w:szCs w:val="28"/>
        </w:rPr>
        <w:t>одготов</w:t>
      </w:r>
      <w:r>
        <w:rPr>
          <w:szCs w:val="28"/>
        </w:rPr>
        <w:t>ка</w:t>
      </w:r>
      <w:r w:rsidRPr="001377BE">
        <w:rPr>
          <w:szCs w:val="28"/>
        </w:rPr>
        <w:t xml:space="preserve"> предложени</w:t>
      </w:r>
      <w:r>
        <w:rPr>
          <w:szCs w:val="28"/>
        </w:rPr>
        <w:t>й</w:t>
      </w:r>
      <w:r w:rsidRPr="001377BE">
        <w:rPr>
          <w:szCs w:val="28"/>
        </w:rPr>
        <w:t xml:space="preserve"> по критериям проведения налоговой амнистии в отношении компаний</w:t>
      </w:r>
      <w:r>
        <w:rPr>
          <w:szCs w:val="28"/>
        </w:rPr>
        <w:t>, готовых к «обелению» своей деятельности;</w:t>
      </w:r>
    </w:p>
    <w:p w:rsidR="00C47DAC" w:rsidRPr="00A86407" w:rsidRDefault="00C47DAC" w:rsidP="00C47DAC">
      <w:pPr>
        <w:ind w:firstLine="709"/>
        <w:jc w:val="both"/>
        <w:rPr>
          <w:szCs w:val="28"/>
        </w:rPr>
      </w:pPr>
      <w:r>
        <w:rPr>
          <w:szCs w:val="28"/>
        </w:rPr>
        <w:t xml:space="preserve">подготовка предложений по применению </w:t>
      </w:r>
      <w:r w:rsidRPr="00C47DAC">
        <w:rPr>
          <w:szCs w:val="28"/>
        </w:rPr>
        <w:t>решений Верховного суда, новых позиций финансовых органов</w:t>
      </w:r>
      <w:r>
        <w:rPr>
          <w:szCs w:val="28"/>
        </w:rPr>
        <w:t xml:space="preserve"> при условии применения налогоплательщиком норм Налогового кодекса Российской Федерации исключительно с нового налогового периода; з</w:t>
      </w:r>
      <w:r w:rsidRPr="00C47DAC">
        <w:rPr>
          <w:szCs w:val="28"/>
        </w:rPr>
        <w:t>апрет на ретроспективное применение измене</w:t>
      </w:r>
      <w:r>
        <w:rPr>
          <w:szCs w:val="28"/>
        </w:rPr>
        <w:t>ний налогового законодательства;</w:t>
      </w:r>
    </w:p>
    <w:p w:rsidR="00A86407" w:rsidRPr="00D9442B" w:rsidRDefault="00A86407" w:rsidP="00A86407">
      <w:pPr>
        <w:ind w:firstLine="709"/>
        <w:jc w:val="both"/>
        <w:rPr>
          <w:szCs w:val="28"/>
        </w:rPr>
      </w:pPr>
      <w:r w:rsidRPr="00A86407">
        <w:rPr>
          <w:szCs w:val="28"/>
        </w:rPr>
        <w:t>подготов</w:t>
      </w:r>
      <w:r>
        <w:rPr>
          <w:szCs w:val="28"/>
        </w:rPr>
        <w:t>ка</w:t>
      </w:r>
      <w:r w:rsidRPr="00A86407">
        <w:rPr>
          <w:szCs w:val="28"/>
        </w:rPr>
        <w:t xml:space="preserve"> предложени</w:t>
      </w:r>
      <w:r>
        <w:rPr>
          <w:szCs w:val="28"/>
        </w:rPr>
        <w:t>й</w:t>
      </w:r>
      <w:r w:rsidRPr="00A86407">
        <w:rPr>
          <w:szCs w:val="28"/>
        </w:rPr>
        <w:t xml:space="preserve"> по проведению обязательной налоговой проверки перед передачей уголовного дела по налоговым преступ</w:t>
      </w:r>
      <w:r>
        <w:rPr>
          <w:szCs w:val="28"/>
        </w:rPr>
        <w:t>лениям в суд;</w:t>
      </w:r>
    </w:p>
    <w:p w:rsidR="00D9442B" w:rsidRPr="00D9442B" w:rsidRDefault="00D9442B" w:rsidP="00D9442B">
      <w:pPr>
        <w:ind w:firstLine="709"/>
        <w:jc w:val="both"/>
        <w:rPr>
          <w:szCs w:val="28"/>
        </w:rPr>
      </w:pPr>
      <w:r w:rsidRPr="00D9442B">
        <w:rPr>
          <w:szCs w:val="28"/>
        </w:rPr>
        <w:t>развитие системы проектного финансирования;</w:t>
      </w:r>
      <w:r w:rsidR="00443B09">
        <w:rPr>
          <w:szCs w:val="28"/>
        </w:rPr>
        <w:t xml:space="preserve"> </w:t>
      </w:r>
      <w:r w:rsidRPr="00D9442B">
        <w:rPr>
          <w:szCs w:val="28"/>
        </w:rPr>
        <w:t>запуск новых финансовых инструментов, в том числе ориентированных на возврат средств из-за рубежа;</w:t>
      </w:r>
    </w:p>
    <w:p w:rsidR="00D9442B" w:rsidRPr="00D9442B" w:rsidRDefault="00D9442B" w:rsidP="00D9442B">
      <w:pPr>
        <w:ind w:firstLine="709"/>
        <w:jc w:val="both"/>
        <w:rPr>
          <w:szCs w:val="28"/>
        </w:rPr>
      </w:pPr>
      <w:r w:rsidRPr="00D9442B">
        <w:rPr>
          <w:szCs w:val="28"/>
        </w:rPr>
        <w:t>проведение оценки экономической эффективности действующих мер государственной поддержки промышленности на федеральном и региональном уровне; докапитализация наиболее эффективных институтов поддержки;</w:t>
      </w:r>
    </w:p>
    <w:p w:rsidR="00D9442B" w:rsidRPr="00D9442B" w:rsidRDefault="00D9442B" w:rsidP="00D9442B">
      <w:pPr>
        <w:ind w:firstLine="709"/>
        <w:jc w:val="both"/>
        <w:rPr>
          <w:szCs w:val="28"/>
        </w:rPr>
      </w:pPr>
      <w:r w:rsidRPr="00D9442B">
        <w:rPr>
          <w:szCs w:val="28"/>
        </w:rPr>
        <w:t>исключение избыточных требований и процедур в регламентах работы институтов развития;</w:t>
      </w:r>
    </w:p>
    <w:p w:rsidR="00D9442B" w:rsidRPr="00D9442B" w:rsidRDefault="00D9442B" w:rsidP="00D9442B">
      <w:pPr>
        <w:ind w:firstLine="709"/>
        <w:jc w:val="both"/>
        <w:rPr>
          <w:szCs w:val="28"/>
        </w:rPr>
      </w:pPr>
      <w:r w:rsidRPr="00D9442B">
        <w:rPr>
          <w:szCs w:val="28"/>
        </w:rPr>
        <w:t>цифровизация процедуры получения мер государственной поддержки и поддержки институтов развития, включая возможность подачи всех документов в электронном виде, электронное взаимодействие на всех стадиях прохождения заявки и реализации проекта, подачу отчетности также в электронном виде, использование единой усиленной квалифицированной ЭЦП для всех институтов развития;</w:t>
      </w:r>
    </w:p>
    <w:p w:rsidR="00D9442B" w:rsidRDefault="00D9442B" w:rsidP="00D9442B">
      <w:pPr>
        <w:ind w:firstLine="709"/>
        <w:jc w:val="both"/>
        <w:rPr>
          <w:szCs w:val="28"/>
        </w:rPr>
      </w:pPr>
      <w:r w:rsidRPr="00D9442B">
        <w:rPr>
          <w:szCs w:val="28"/>
        </w:rPr>
        <w:t xml:space="preserve">развитие и повышение доступности института специальных инвестиционных контрактов, механизмов субсидирования, Фонда развития промышленности </w:t>
      </w:r>
      <w:r w:rsidRPr="00443B09">
        <w:rPr>
          <w:szCs w:val="28"/>
        </w:rPr>
        <w:t>и иных инструментов промышленной политики;</w:t>
      </w:r>
      <w:r w:rsidR="00443B09">
        <w:rPr>
          <w:szCs w:val="28"/>
        </w:rPr>
        <w:t xml:space="preserve"> </w:t>
      </w:r>
      <w:r w:rsidRPr="00443B09">
        <w:rPr>
          <w:szCs w:val="28"/>
        </w:rPr>
        <w:t>активизация работы субъектов Российской Федерации по формированию региональной законодательной базы, обеспечивающей применение на практике механизмов и стимулов инвестиционной активности, включая СПИК, льготу по налогу на имущество в части нового оборудования и т.д.;</w:t>
      </w:r>
    </w:p>
    <w:p w:rsidR="00A86407" w:rsidRDefault="00A86407" w:rsidP="00D9442B">
      <w:pPr>
        <w:ind w:firstLine="709"/>
        <w:jc w:val="both"/>
        <w:rPr>
          <w:szCs w:val="28"/>
        </w:rPr>
      </w:pPr>
      <w:r>
        <w:rPr>
          <w:szCs w:val="28"/>
        </w:rPr>
        <w:t>ра</w:t>
      </w:r>
      <w:r w:rsidRPr="00A86407">
        <w:rPr>
          <w:szCs w:val="28"/>
        </w:rPr>
        <w:t>зработ</w:t>
      </w:r>
      <w:r>
        <w:rPr>
          <w:szCs w:val="28"/>
        </w:rPr>
        <w:t>ка</w:t>
      </w:r>
      <w:r w:rsidRPr="00A86407">
        <w:rPr>
          <w:szCs w:val="28"/>
        </w:rPr>
        <w:t xml:space="preserve"> совместно с ведущими деловыми объединениями предпринимателей изменений в законодательство, предусматривающих исключение избыточных требований к проектированию и строительству промышленных объектов</w:t>
      </w:r>
      <w:r>
        <w:rPr>
          <w:szCs w:val="28"/>
        </w:rPr>
        <w:t>, а также переч</w:t>
      </w:r>
      <w:r w:rsidRPr="00A86407">
        <w:rPr>
          <w:szCs w:val="28"/>
        </w:rPr>
        <w:t>н</w:t>
      </w:r>
      <w:r>
        <w:rPr>
          <w:szCs w:val="28"/>
        </w:rPr>
        <w:t>я</w:t>
      </w:r>
      <w:r w:rsidRPr="00A86407">
        <w:rPr>
          <w:szCs w:val="28"/>
        </w:rPr>
        <w:t xml:space="preserve"> мероприятий («дорожн</w:t>
      </w:r>
      <w:r>
        <w:rPr>
          <w:szCs w:val="28"/>
        </w:rPr>
        <w:t>ой</w:t>
      </w:r>
      <w:r w:rsidRPr="00A86407">
        <w:rPr>
          <w:szCs w:val="28"/>
        </w:rPr>
        <w:t xml:space="preserve"> карт</w:t>
      </w:r>
      <w:r>
        <w:rPr>
          <w:szCs w:val="28"/>
        </w:rPr>
        <w:t>ы</w:t>
      </w:r>
      <w:r w:rsidRPr="00A86407">
        <w:rPr>
          <w:szCs w:val="28"/>
        </w:rPr>
        <w:t>»), направленных на упрощение проектирования и строительства промышленных объектов, включая сокращение сроков прохождения необходимых согласований и экспертиз, внедрение риск-ориентированного подхода (включая установление предельных уровней риска), сокращение количества требований к составу проектной документации и упрощение процедуры внесения в неё изменений, доработку обязательных к применению требований Сводов правил для обеспечения возможности выполнения проектировщиком необходимых расчетов, не прибегая к научно-техническому сопровождению</w:t>
      </w:r>
      <w:r>
        <w:rPr>
          <w:szCs w:val="28"/>
        </w:rPr>
        <w:t>;</w:t>
      </w:r>
    </w:p>
    <w:p w:rsidR="00A2672D" w:rsidRPr="00A2672D" w:rsidRDefault="00A2672D" w:rsidP="00A2672D">
      <w:pPr>
        <w:ind w:firstLine="709"/>
        <w:jc w:val="both"/>
        <w:rPr>
          <w:szCs w:val="28"/>
        </w:rPr>
      </w:pPr>
      <w:r w:rsidRPr="00A2672D">
        <w:rPr>
          <w:szCs w:val="28"/>
        </w:rPr>
        <w:t>развитие рынка золота в России, введение освобождения от НДС по операциям реализации золотых инвестиционных слитков;</w:t>
      </w:r>
    </w:p>
    <w:p w:rsidR="00A2672D" w:rsidRPr="00A2672D" w:rsidRDefault="00A2672D" w:rsidP="00A2672D">
      <w:pPr>
        <w:ind w:firstLine="709"/>
        <w:jc w:val="both"/>
        <w:rPr>
          <w:szCs w:val="28"/>
        </w:rPr>
      </w:pPr>
      <w:r w:rsidRPr="00A2672D">
        <w:rPr>
          <w:szCs w:val="28"/>
        </w:rPr>
        <w:t>снижение накопленной задолженности корпоративного сектора и одновременное повышение уровня капитализации его организаций (банков, предприятий и др. организаций);</w:t>
      </w:r>
    </w:p>
    <w:p w:rsidR="00A2672D" w:rsidRDefault="00A2672D" w:rsidP="00A2672D">
      <w:pPr>
        <w:ind w:firstLine="709"/>
        <w:jc w:val="both"/>
        <w:rPr>
          <w:szCs w:val="28"/>
        </w:rPr>
      </w:pPr>
      <w:r w:rsidRPr="00A2672D">
        <w:rPr>
          <w:szCs w:val="28"/>
        </w:rPr>
        <w:t>разработка дополнительных мер по стимулированию использования инструментов фондового рынка (акции и облигации) в качестве способа привлечения капитала, а также по развитию таких альтернативных способов финансирования как венчурное инвестирование, краудинвестинг и краудфандинг;</w:t>
      </w:r>
    </w:p>
    <w:p w:rsidR="004324FA" w:rsidRDefault="004324FA" w:rsidP="00A2672D">
      <w:pPr>
        <w:ind w:firstLine="709"/>
        <w:jc w:val="both"/>
        <w:rPr>
          <w:szCs w:val="28"/>
        </w:rPr>
      </w:pPr>
      <w:r>
        <w:rPr>
          <w:szCs w:val="28"/>
        </w:rPr>
        <w:t>снижение и гармонизация регуляторной нагрузки на участников страхового рынка, при этом механизмом гармонизации, в частности, может стать дальнейшая дигитализация взаимоотношений между страховыми компаниями и надзорными органами, которая позволит снизить накладные расходы всех участников этих отношений;</w:t>
      </w:r>
    </w:p>
    <w:p w:rsidR="004324FA" w:rsidRDefault="004324FA" w:rsidP="00A2672D">
      <w:pPr>
        <w:ind w:firstLine="709"/>
        <w:jc w:val="both"/>
        <w:rPr>
          <w:szCs w:val="28"/>
        </w:rPr>
      </w:pPr>
      <w:r>
        <w:rPr>
          <w:szCs w:val="28"/>
        </w:rPr>
        <w:t>либерализация тарифов по обязательным видам страхования, в первую очередь</w:t>
      </w:r>
      <w:r w:rsidR="00A03FA3">
        <w:rPr>
          <w:szCs w:val="28"/>
        </w:rPr>
        <w:t xml:space="preserve"> – по обязательному страхованию гражданской ответственности владельцев транспортных средств (ОСАГО);</w:t>
      </w:r>
    </w:p>
    <w:p w:rsidR="00A03FA3" w:rsidRDefault="00A03FA3" w:rsidP="00A2672D">
      <w:pPr>
        <w:ind w:firstLine="709"/>
        <w:jc w:val="both"/>
        <w:rPr>
          <w:szCs w:val="28"/>
        </w:rPr>
      </w:pPr>
      <w:r>
        <w:rPr>
          <w:szCs w:val="28"/>
        </w:rPr>
        <w:t>налоговое стимулирование долгосрочных накоплений и сбережений гражданами денежных средств в программах страховых компаний и пенсионных фондов; либерализация условий заключения договоров страхования и взаимодействия с клиентом с помощью цифровых каналов;</w:t>
      </w:r>
    </w:p>
    <w:p w:rsidR="00871FF1" w:rsidRPr="00443B09" w:rsidRDefault="004324FA" w:rsidP="00871FF1">
      <w:pPr>
        <w:ind w:firstLine="709"/>
        <w:jc w:val="both"/>
        <w:rPr>
          <w:szCs w:val="28"/>
        </w:rPr>
      </w:pPr>
      <w:r>
        <w:rPr>
          <w:szCs w:val="28"/>
        </w:rPr>
        <w:t>работа по г</w:t>
      </w:r>
      <w:r w:rsidRPr="00871FF1">
        <w:rPr>
          <w:szCs w:val="28"/>
        </w:rPr>
        <w:t>армониз</w:t>
      </w:r>
      <w:r>
        <w:rPr>
          <w:szCs w:val="28"/>
        </w:rPr>
        <w:t>ации</w:t>
      </w:r>
      <w:r w:rsidRPr="00871FF1">
        <w:rPr>
          <w:szCs w:val="28"/>
        </w:rPr>
        <w:t xml:space="preserve"> акцизны</w:t>
      </w:r>
      <w:r>
        <w:rPr>
          <w:szCs w:val="28"/>
        </w:rPr>
        <w:t>х</w:t>
      </w:r>
      <w:r w:rsidRPr="00871FF1">
        <w:rPr>
          <w:szCs w:val="28"/>
        </w:rPr>
        <w:t xml:space="preserve"> став</w:t>
      </w:r>
      <w:r>
        <w:rPr>
          <w:szCs w:val="28"/>
        </w:rPr>
        <w:t>о</w:t>
      </w:r>
      <w:r w:rsidRPr="00871FF1">
        <w:rPr>
          <w:szCs w:val="28"/>
        </w:rPr>
        <w:t>к в странах ЕАЭС</w:t>
      </w:r>
      <w:r>
        <w:rPr>
          <w:szCs w:val="28"/>
        </w:rPr>
        <w:t xml:space="preserve"> </w:t>
      </w:r>
      <w:r w:rsidR="00871FF1">
        <w:rPr>
          <w:szCs w:val="28"/>
        </w:rPr>
        <w:t xml:space="preserve">с </w:t>
      </w:r>
      <w:r w:rsidR="00871FF1" w:rsidRPr="00871FF1">
        <w:rPr>
          <w:szCs w:val="28"/>
        </w:rPr>
        <w:t xml:space="preserve">учетом развивающегося товарооборота в странах ЕАЭС, с одной стороны, замедления темпов роста доходов населения </w:t>
      </w:r>
      <w:r w:rsidR="00871FF1">
        <w:rPr>
          <w:szCs w:val="28"/>
        </w:rPr>
        <w:t>и рисков развития серого рынка, с другой;</w:t>
      </w:r>
    </w:p>
    <w:p w:rsidR="00C84A11" w:rsidRPr="00443B09" w:rsidRDefault="0078232D" w:rsidP="00D9442B">
      <w:pPr>
        <w:ind w:firstLine="709"/>
        <w:jc w:val="both"/>
        <w:rPr>
          <w:szCs w:val="28"/>
        </w:rPr>
      </w:pPr>
      <w:r w:rsidRPr="00443B09">
        <w:rPr>
          <w:szCs w:val="28"/>
        </w:rPr>
        <w:t>системная работа по исключению продукции, не соответству</w:t>
      </w:r>
      <w:r w:rsidR="00443B09" w:rsidRPr="00443B09">
        <w:rPr>
          <w:szCs w:val="28"/>
        </w:rPr>
        <w:t>ющей установленным требованиям,</w:t>
      </w:r>
      <w:r w:rsidRPr="00443B09">
        <w:rPr>
          <w:szCs w:val="28"/>
        </w:rPr>
        <w:t xml:space="preserve"> в том числе с использованием </w:t>
      </w:r>
      <w:r w:rsidR="00C84A11" w:rsidRPr="00443B09">
        <w:rPr>
          <w:szCs w:val="28"/>
        </w:rPr>
        <w:t>инструментов технического регулирования (сертификации</w:t>
      </w:r>
      <w:r w:rsidR="00297A33">
        <w:rPr>
          <w:szCs w:val="28"/>
        </w:rPr>
        <w:t>, стандартизации);</w:t>
      </w:r>
    </w:p>
    <w:p w:rsidR="00CF181B" w:rsidRPr="00443B09" w:rsidRDefault="00CF181B" w:rsidP="00CF181B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443B09">
        <w:rPr>
          <w:szCs w:val="28"/>
        </w:rPr>
        <w:t>Повышение конкурентоспособности российской промышленности и создание благоприятных условий для развития высокотехнологичных производств:</w:t>
      </w:r>
    </w:p>
    <w:p w:rsidR="00D9442B" w:rsidRPr="00443B09" w:rsidRDefault="00D9442B" w:rsidP="00D9442B">
      <w:pPr>
        <w:ind w:firstLine="709"/>
        <w:jc w:val="both"/>
        <w:rPr>
          <w:szCs w:val="28"/>
        </w:rPr>
      </w:pPr>
      <w:r w:rsidRPr="00443B09">
        <w:rPr>
          <w:szCs w:val="28"/>
        </w:rPr>
        <w:t xml:space="preserve">создание необходимых условий и устранению имеющихся ограничений, в том числе регуляторных, для цифровой трансформации традиционных отраслей экономики; </w:t>
      </w:r>
    </w:p>
    <w:p w:rsidR="00D9442B" w:rsidRPr="00443B09" w:rsidRDefault="00D9442B" w:rsidP="00D9442B">
      <w:pPr>
        <w:ind w:firstLine="709"/>
        <w:jc w:val="both"/>
        <w:rPr>
          <w:szCs w:val="28"/>
        </w:rPr>
      </w:pPr>
      <w:r w:rsidRPr="00443B09">
        <w:rPr>
          <w:szCs w:val="28"/>
        </w:rPr>
        <w:t>обеспечение эффективного оборота данных при построении цифровой экономики, создание необходимых условий, а также устранение регуляторных и прочих барьеров для развития экспортного потенциала отечественных услуг хранения и обработки данных;</w:t>
      </w:r>
    </w:p>
    <w:p w:rsidR="00D9442B" w:rsidRPr="00443B09" w:rsidRDefault="00D9442B" w:rsidP="00D9442B">
      <w:pPr>
        <w:ind w:firstLine="709"/>
        <w:jc w:val="both"/>
        <w:rPr>
          <w:szCs w:val="28"/>
        </w:rPr>
      </w:pPr>
      <w:r w:rsidRPr="00443B09">
        <w:rPr>
          <w:szCs w:val="28"/>
        </w:rPr>
        <w:t>подготовка законодательной основы для введения процедуры нотификации органов по оценке соответствия;</w:t>
      </w:r>
    </w:p>
    <w:p w:rsidR="00F95588" w:rsidRPr="00443B09" w:rsidRDefault="00F95588" w:rsidP="00F95588">
      <w:pPr>
        <w:ind w:firstLine="709"/>
        <w:jc w:val="both"/>
        <w:rPr>
          <w:szCs w:val="28"/>
        </w:rPr>
      </w:pPr>
      <w:r w:rsidRPr="00443B09">
        <w:rPr>
          <w:szCs w:val="28"/>
        </w:rPr>
        <w:t>содействие установлению единых правил в странах ЕАЭС по контролю за требованиями технических регламентов и обеспечению их выполнения;</w:t>
      </w:r>
    </w:p>
    <w:p w:rsidR="00BD2814" w:rsidRPr="00443B09" w:rsidRDefault="00BD2814" w:rsidP="00F95588">
      <w:pPr>
        <w:ind w:firstLine="709"/>
        <w:jc w:val="both"/>
        <w:rPr>
          <w:szCs w:val="28"/>
        </w:rPr>
      </w:pPr>
      <w:r w:rsidRPr="00443B09">
        <w:rPr>
          <w:szCs w:val="28"/>
        </w:rPr>
        <w:t>создание Центра компетенций по стандартизации цифровой экономики;</w:t>
      </w:r>
    </w:p>
    <w:p w:rsidR="00F95588" w:rsidRPr="00443B09" w:rsidRDefault="00F95588" w:rsidP="00F95588">
      <w:pPr>
        <w:ind w:firstLine="709"/>
        <w:jc w:val="both"/>
        <w:rPr>
          <w:szCs w:val="28"/>
        </w:rPr>
      </w:pPr>
      <w:r w:rsidRPr="00443B09">
        <w:rPr>
          <w:szCs w:val="28"/>
        </w:rPr>
        <w:t xml:space="preserve">участие в разработке </w:t>
      </w:r>
      <w:r w:rsidR="00BD2814" w:rsidRPr="00443B09">
        <w:rPr>
          <w:szCs w:val="28"/>
        </w:rPr>
        <w:t xml:space="preserve">международных, региональных и национальных </w:t>
      </w:r>
      <w:r w:rsidRPr="00443B09">
        <w:rPr>
          <w:szCs w:val="28"/>
        </w:rPr>
        <w:t>стандартов</w:t>
      </w:r>
      <w:r w:rsidR="007E635B" w:rsidRPr="00443B09">
        <w:rPr>
          <w:szCs w:val="28"/>
        </w:rPr>
        <w:t xml:space="preserve">, в том числе и </w:t>
      </w:r>
      <w:r w:rsidRPr="00443B09">
        <w:rPr>
          <w:szCs w:val="28"/>
        </w:rPr>
        <w:t>для цифровой экономики;</w:t>
      </w:r>
    </w:p>
    <w:p w:rsidR="00F95588" w:rsidRPr="00443B09" w:rsidRDefault="00F95588" w:rsidP="00F95588">
      <w:pPr>
        <w:ind w:firstLine="709"/>
        <w:jc w:val="both"/>
        <w:rPr>
          <w:szCs w:val="28"/>
        </w:rPr>
      </w:pPr>
      <w:r w:rsidRPr="00443B09">
        <w:rPr>
          <w:szCs w:val="28"/>
        </w:rPr>
        <w:t>активизация деятельности по борьбе с производством и выпуском в обращение фальсифицированной и контрафактной продукции;</w:t>
      </w:r>
    </w:p>
    <w:p w:rsidR="00D9442B" w:rsidRPr="00443B09" w:rsidRDefault="00D9442B" w:rsidP="00D9442B">
      <w:pPr>
        <w:ind w:firstLine="709"/>
        <w:jc w:val="both"/>
        <w:rPr>
          <w:szCs w:val="28"/>
        </w:rPr>
      </w:pPr>
      <w:r w:rsidRPr="00443B09">
        <w:rPr>
          <w:szCs w:val="28"/>
        </w:rPr>
        <w:t>ликвидация сохраняющихся барьеров при подключении к инфраструктуре/получении услуг организаций инфраструктуры для бизнеса;</w:t>
      </w:r>
    </w:p>
    <w:p w:rsidR="00D9442B" w:rsidRPr="00443B09" w:rsidRDefault="00D9442B" w:rsidP="00D9442B">
      <w:pPr>
        <w:ind w:firstLine="709"/>
        <w:jc w:val="both"/>
        <w:rPr>
          <w:szCs w:val="28"/>
        </w:rPr>
      </w:pPr>
      <w:r w:rsidRPr="00443B09">
        <w:rPr>
          <w:szCs w:val="28"/>
        </w:rPr>
        <w:t>расширение использования инновационных решений для снижения стоимости и повышения качества инфраструктуры;</w:t>
      </w:r>
    </w:p>
    <w:p w:rsidR="00A2672D" w:rsidRPr="00A2672D" w:rsidRDefault="00A2672D" w:rsidP="00A2672D">
      <w:pPr>
        <w:ind w:firstLine="709"/>
        <w:jc w:val="both"/>
        <w:rPr>
          <w:szCs w:val="28"/>
        </w:rPr>
      </w:pPr>
      <w:r w:rsidRPr="00A2672D">
        <w:rPr>
          <w:szCs w:val="28"/>
        </w:rPr>
        <w:t>проведение реформы рынка лизинга с целью повышения его транспарентности, укрепления доверия к лизингодателям со стороны государственных органов, клиентов, инвесторов и кредиторов;</w:t>
      </w:r>
    </w:p>
    <w:p w:rsidR="00A2672D" w:rsidRDefault="00A2672D" w:rsidP="00A2672D">
      <w:pPr>
        <w:ind w:firstLine="709"/>
        <w:jc w:val="both"/>
        <w:rPr>
          <w:szCs w:val="28"/>
        </w:rPr>
      </w:pPr>
      <w:r w:rsidRPr="00A2672D">
        <w:rPr>
          <w:szCs w:val="28"/>
        </w:rPr>
        <w:t>реформирование сферы аудиторской деятельности в целях повышения её эффективности в обеспечении защиты общественных интересов и передача полномочий по регулированию и надзору в сфере аудиторской деятельности Банку России;</w:t>
      </w:r>
    </w:p>
    <w:p w:rsidR="00D9442B" w:rsidRPr="00443B09" w:rsidRDefault="00D9442B" w:rsidP="00D9442B">
      <w:pPr>
        <w:ind w:firstLine="709"/>
        <w:jc w:val="both"/>
        <w:rPr>
          <w:szCs w:val="28"/>
        </w:rPr>
      </w:pPr>
      <w:r w:rsidRPr="00443B09">
        <w:rPr>
          <w:szCs w:val="28"/>
        </w:rPr>
        <w:t>совершенствование законодательства с целью расширения инвестиционных возможностей негосударственных пенсионных фондов (НПФ), возможности инвестирования (размещения) средств пенсионных накоплений и пенсионных резервов в ценные бумаги российских высокотехнологичных компаний, а также в фонды прямых и венчурных инвестиций;</w:t>
      </w:r>
    </w:p>
    <w:p w:rsidR="00B7123A" w:rsidRPr="00443B09" w:rsidRDefault="00D9442B" w:rsidP="00D9442B">
      <w:pPr>
        <w:ind w:firstLine="709"/>
        <w:jc w:val="both"/>
        <w:rPr>
          <w:szCs w:val="28"/>
        </w:rPr>
      </w:pPr>
      <w:r w:rsidRPr="00443B09">
        <w:rPr>
          <w:szCs w:val="28"/>
        </w:rPr>
        <w:t>обеспечение цифровизации взаимодействия с органами власти и институтами развития, включая сбор отчетности, подачу заявок на получение поддержки и т.д.;</w:t>
      </w:r>
    </w:p>
    <w:p w:rsidR="007C67CF" w:rsidRPr="00443B09" w:rsidRDefault="007C67CF" w:rsidP="007C67CF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443B09">
        <w:rPr>
          <w:szCs w:val="28"/>
        </w:rPr>
        <w:t>Развитие конкуренции:</w:t>
      </w:r>
    </w:p>
    <w:p w:rsidR="00D9442B" w:rsidRPr="00443B09" w:rsidRDefault="00D9442B" w:rsidP="00D9442B">
      <w:pPr>
        <w:ind w:firstLine="709"/>
        <w:jc w:val="both"/>
      </w:pPr>
      <w:r w:rsidRPr="00443B09">
        <w:t>создание комплексной системы правового регулирования цен (тарифов), в том числе работа над проектом федерального закона «Об основах государственного регулирования цен (тарифов)»;</w:t>
      </w:r>
    </w:p>
    <w:p w:rsidR="00D9442B" w:rsidRPr="00443B09" w:rsidRDefault="00D9442B" w:rsidP="00D9442B">
      <w:pPr>
        <w:ind w:firstLine="709"/>
        <w:jc w:val="both"/>
      </w:pPr>
      <w:r w:rsidRPr="00443B09">
        <w:t>проведение анализа и подготовка предложений о возможном применении отдельных положений законодательства о защите конкуренции в отношении интеллектуальной собственности;</w:t>
      </w:r>
    </w:p>
    <w:p w:rsidR="00D9442B" w:rsidRPr="00443B09" w:rsidRDefault="00D9442B" w:rsidP="00D9442B">
      <w:pPr>
        <w:ind w:firstLine="709"/>
        <w:jc w:val="both"/>
      </w:pPr>
      <w:r w:rsidRPr="00443B09">
        <w:t>доработка Разъяснений ФАС России по определению размера убытка, причиненного в результате нарушения антимонопольного законодательства;</w:t>
      </w:r>
    </w:p>
    <w:p w:rsidR="00A2672D" w:rsidRPr="00443B09" w:rsidRDefault="00A2672D" w:rsidP="00A2672D">
      <w:pPr>
        <w:ind w:firstLine="709"/>
        <w:jc w:val="both"/>
      </w:pPr>
      <w:r w:rsidRPr="00443B09">
        <w:t>совершенствование критериев работы антимонопольной службы по борьбе с картелями на территории РФ и другими нарушениями ан</w:t>
      </w:r>
      <w:r>
        <w:t>тимонопольного законодательства;</w:t>
      </w:r>
    </w:p>
    <w:p w:rsidR="00A2672D" w:rsidRDefault="00A2672D" w:rsidP="00A2672D">
      <w:pPr>
        <w:ind w:firstLine="709"/>
        <w:jc w:val="both"/>
      </w:pPr>
      <w:r>
        <w:t>повышение конкуренции на рынке финансовых услуг путем оптимизации регулятивной нагрузки и через готовящееся внедрение на финансовом рынке системы пропорционального регулирования банков;</w:t>
      </w:r>
    </w:p>
    <w:p w:rsidR="00A2672D" w:rsidRDefault="00A2672D" w:rsidP="00A2672D">
      <w:pPr>
        <w:ind w:firstLine="709"/>
        <w:jc w:val="both"/>
      </w:pPr>
      <w:r>
        <w:t>разработка нормативной базы пропорционального регулирования с учетом баланса ограничивающих и поощряющих мер, направленных на стимулирование кредитования;</w:t>
      </w:r>
    </w:p>
    <w:p w:rsidR="007C67CF" w:rsidRPr="00443B09" w:rsidRDefault="007C67CF" w:rsidP="007C67CF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443B09">
        <w:rPr>
          <w:szCs w:val="28"/>
        </w:rPr>
        <w:t xml:space="preserve">Повышение </w:t>
      </w:r>
      <w:r w:rsidR="001472AA" w:rsidRPr="00443B09">
        <w:rPr>
          <w:szCs w:val="28"/>
        </w:rPr>
        <w:t>эффективности рынка труда и уровня квалификации трудовых ресурсов</w:t>
      </w:r>
      <w:r w:rsidRPr="00443B09">
        <w:rPr>
          <w:szCs w:val="28"/>
        </w:rPr>
        <w:t>:</w:t>
      </w:r>
    </w:p>
    <w:p w:rsidR="009C553E" w:rsidRDefault="009C553E" w:rsidP="00D9442B">
      <w:pPr>
        <w:ind w:firstLine="709"/>
        <w:jc w:val="both"/>
      </w:pPr>
      <w:r w:rsidRPr="009C553E">
        <w:t>реализация Генерального соглашения между общероссийскими объединениями профсоюзов, общероссийскими объединениями работодателей и Правительством Российск</w:t>
      </w:r>
      <w:r>
        <w:t>ой Федерации на 2018-2020 годы;</w:t>
      </w:r>
    </w:p>
    <w:p w:rsidR="00D9442B" w:rsidRPr="00443B09" w:rsidRDefault="00D9442B" w:rsidP="00D9442B">
      <w:pPr>
        <w:ind w:firstLine="709"/>
        <w:jc w:val="both"/>
      </w:pPr>
      <w:r w:rsidRPr="00443B09">
        <w:t>выработка/консолидация позиции бизнес-сообществ, диалог с социальными партнёрами по вопросам совершенствования трудового законодательства, направленного на создание условий для повышения производительности труда, включая обновление механизмов, позволяющих работодателям оперативно и гибко реагировать на меняющиеся условия рыночной конъюнктуры, формировать устойчивые трудовые коллективы, при оптимальных экономических затратах и соблюдении базовых обязательств работодателей, включая защиту работников в сфере труда;</w:t>
      </w:r>
    </w:p>
    <w:p w:rsidR="00D9442B" w:rsidRPr="00443B09" w:rsidRDefault="00D9442B" w:rsidP="00D9442B">
      <w:pPr>
        <w:ind w:firstLine="709"/>
        <w:jc w:val="both"/>
      </w:pPr>
      <w:r w:rsidRPr="00443B09">
        <w:t>участие в реализации приоритетной программы «Повышение производительности труда и поддержка занятости»;</w:t>
      </w:r>
    </w:p>
    <w:p w:rsidR="00D9442B" w:rsidRPr="00443B09" w:rsidRDefault="00D9442B" w:rsidP="00D9442B">
      <w:pPr>
        <w:ind w:firstLine="709"/>
        <w:jc w:val="both"/>
      </w:pPr>
      <w:r w:rsidRPr="00443B09">
        <w:t>развитие электронного кадрового документооборота, включая переход на «электронную трудовую книжку»;</w:t>
      </w:r>
    </w:p>
    <w:p w:rsidR="00D9442B" w:rsidRPr="00443B09" w:rsidRDefault="00D9442B" w:rsidP="00D9442B">
      <w:pPr>
        <w:ind w:firstLine="709"/>
        <w:jc w:val="both"/>
      </w:pPr>
      <w:r w:rsidRPr="00443B09">
        <w:t>совместная работа бизнеса и власти по учету интересов делового сообщества при совершенствовании нормативной правовой базы в сфере охраны труда, дальнейшая её гармонизация с международными нормами; развитие механизмов экономического стимулирования работодателей к улучшению условий труда, сохранению жизни и здоровья работников;</w:t>
      </w:r>
    </w:p>
    <w:p w:rsidR="004429FC" w:rsidRPr="00443B09" w:rsidRDefault="00D9442B" w:rsidP="004429FC">
      <w:pPr>
        <w:ind w:firstLine="709"/>
        <w:jc w:val="both"/>
      </w:pPr>
      <w:r w:rsidRPr="00443B09">
        <w:t xml:space="preserve">ускорение модернизации системы профессионального обучения, обеспечение её тесной увязки с потребностями экономики, </w:t>
      </w:r>
      <w:r w:rsidR="004429FC" w:rsidRPr="00443B09">
        <w:t xml:space="preserve">в том числе с учетом потребностями подготовки кадров для цифровой экономики, </w:t>
      </w:r>
      <w:r w:rsidRPr="00443B09">
        <w:t>корректировки существующих и разработки новых современных образовательных стандартов и программ с учётом профессиональных стандартов;</w:t>
      </w:r>
      <w:r w:rsidR="004429FC" w:rsidRPr="00443B09">
        <w:t xml:space="preserve"> разработка новых эффективных моделей взаимодействия работодателей со сферой образования;</w:t>
      </w:r>
    </w:p>
    <w:p w:rsidR="00D9442B" w:rsidRPr="00443B09" w:rsidRDefault="00D9442B" w:rsidP="00D9442B">
      <w:pPr>
        <w:ind w:firstLine="709"/>
        <w:jc w:val="both"/>
      </w:pPr>
      <w:r w:rsidRPr="00443B09">
        <w:t>ускорение формирования системы независимой оценки квалификаций, включая внедрение инновационных форм подтверждения качественной подготовки выпускников в сфере профобразования, таких как демонстрационный экзамен; расширение практики использования процедуры профессионально-общественной аккредитации образовательных программ;</w:t>
      </w:r>
    </w:p>
    <w:p w:rsidR="004429FC" w:rsidRPr="00443B09" w:rsidRDefault="004429FC" w:rsidP="004429FC">
      <w:pPr>
        <w:ind w:firstLine="709"/>
        <w:jc w:val="both"/>
      </w:pPr>
      <w:r w:rsidRPr="00443B09">
        <w:t>совершенствование методики прогнозирования кадровой потребности с вовлечением ключевых федеральных органов исполнительной власти;</w:t>
      </w:r>
    </w:p>
    <w:p w:rsidR="00D9442B" w:rsidRPr="00443B09" w:rsidRDefault="00D9442B" w:rsidP="00D9442B">
      <w:pPr>
        <w:ind w:firstLine="709"/>
        <w:jc w:val="both"/>
      </w:pPr>
      <w:r w:rsidRPr="00443B09">
        <w:t>развитие механизмов повышения мобильности трудовых ресурсов; дальнейшее совершенствование системы регулирования привлечения иностранной рабочей силы, включая совершенствование порядка привлечения квалифицированной иностранной рабочей силы, в том числе в целях реализации инвестиционных программ и проектов;</w:t>
      </w:r>
    </w:p>
    <w:p w:rsidR="00A2435A" w:rsidRPr="00A2435A" w:rsidRDefault="00A2435A" w:rsidP="00A2435A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>
        <w:t>Развитие деловой практики на основе корпоративной ответственности, устойчивости и открытости, укрепление репутации отечественного бизнеса:</w:t>
      </w:r>
    </w:p>
    <w:p w:rsidR="00A2435A" w:rsidRDefault="00A2435A" w:rsidP="00A2435A">
      <w:pPr>
        <w:ind w:firstLine="709"/>
        <w:jc w:val="both"/>
      </w:pPr>
      <w:r>
        <w:t>выявление, обобщение и продвижение успешного опыта компаний в области устойчивого развития, включая экономические, экологические и социальные аспекты, участие в региональном развитии;</w:t>
      </w:r>
    </w:p>
    <w:p w:rsidR="00A2435A" w:rsidRDefault="00A2435A" w:rsidP="00A2435A">
      <w:pPr>
        <w:ind w:firstLine="709"/>
        <w:jc w:val="both"/>
      </w:pPr>
      <w:r>
        <w:t>повышение информационной открытости и развитие публичной нефинансовой отчетности, раскрывающей информацию о воздействии бизнеса на общество и окружающую среду, вкладе компаний в социально-экономическое развитие, включая улучшение социального климата в территориях их деятельности;</w:t>
      </w:r>
    </w:p>
    <w:p w:rsidR="00A2435A" w:rsidRDefault="00A2435A" w:rsidP="00A2435A">
      <w:pPr>
        <w:ind w:firstLine="709"/>
        <w:jc w:val="both"/>
      </w:pPr>
      <w:r>
        <w:t>участие во взаимодействии с органами власти и заинтересованными организациями в реализации Концепции и плана мероприятий по развитию публичной нефинансовой отчетности, включая разработку закона о публичной нефинансовой отчетности и методических рекомендаций по её составлению, формирование перечня базовых индикаторов, обязательных к раскрытию в отчетности;</w:t>
      </w:r>
    </w:p>
    <w:p w:rsidR="00A2435A" w:rsidRDefault="00A2435A" w:rsidP="00A2435A">
      <w:pPr>
        <w:ind w:firstLine="709"/>
        <w:jc w:val="both"/>
      </w:pPr>
      <w:r>
        <w:t>развитие инструментов независимой оценки деятельности компаний в области устойчивого развития и корпоративной социальной ответственности; расширение линейки индексов РСПП в области устойчивого развития за счет внедрения отраслевых и тематических индексов, включая индекс социальных инвестиций компаний;</w:t>
      </w:r>
    </w:p>
    <w:p w:rsidR="00A2435A" w:rsidRDefault="00A2435A" w:rsidP="00A2435A">
      <w:pPr>
        <w:ind w:firstLine="709"/>
        <w:jc w:val="both"/>
      </w:pPr>
      <w:r>
        <w:t>налоговое стимулирование притока частных инвестиций в социальную сферу, корпоративной благотворительности, расходов компаний на социальные цели, напрямую не связанные с производственной деятельностью;</w:t>
      </w:r>
    </w:p>
    <w:p w:rsidR="00A2435A" w:rsidRDefault="00A2435A" w:rsidP="00A2435A">
      <w:pPr>
        <w:ind w:firstLine="709"/>
        <w:jc w:val="both"/>
      </w:pPr>
      <w:r>
        <w:t>расширение участия организаций негосударственного сектора в социальной сфере, развитие малого бизнеса и социального предпринимательства, инфраструктуры их поддержки, нормативного регулирования в этой сфере;</w:t>
      </w:r>
    </w:p>
    <w:p w:rsidR="00D9442B" w:rsidRPr="00443B09" w:rsidRDefault="00A2435A" w:rsidP="00A2435A">
      <w:pPr>
        <w:ind w:firstLine="709"/>
        <w:jc w:val="both"/>
      </w:pPr>
      <w:r>
        <w:t>развитие межсекторного взаимодействия и практики партнерства в реализации общественно значимых проектов в области устойчивого развития, улучшения социально-экономического климата в территориях, поддержка и продвижение опыта лидеров бизнеса в этой сфере;</w:t>
      </w:r>
    </w:p>
    <w:p w:rsidR="001472AA" w:rsidRPr="00443B09" w:rsidRDefault="006A0512" w:rsidP="001472AA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443B09">
        <w:rPr>
          <w:szCs w:val="28"/>
        </w:rPr>
        <w:t>Повышение качества экологического регулирования с учетом интересов бизнеса</w:t>
      </w:r>
      <w:r w:rsidR="001472AA" w:rsidRPr="00443B09">
        <w:rPr>
          <w:szCs w:val="28"/>
        </w:rPr>
        <w:t>:</w:t>
      </w:r>
    </w:p>
    <w:p w:rsidR="00D9442B" w:rsidRPr="00443B09" w:rsidRDefault="00D9442B" w:rsidP="00D9442B">
      <w:pPr>
        <w:ind w:firstLine="709"/>
        <w:jc w:val="both"/>
      </w:pPr>
      <w:r w:rsidRPr="00443B09">
        <w:t>правовое регулирование порядка оснащения источников негативного воздействия предприятий I категории по НДТ средствами автоматизированного контроля за выбросами/сбросами загрязняющих веществ, включая проекты соответствующих подзаконных актов;</w:t>
      </w:r>
    </w:p>
    <w:p w:rsidR="00A86407" w:rsidRPr="00443B09" w:rsidRDefault="00A86407" w:rsidP="00A86407">
      <w:pPr>
        <w:ind w:firstLine="709"/>
        <w:jc w:val="both"/>
      </w:pPr>
      <w:r>
        <w:t>подготовка предложений по законодательному закреплению упрощенного режима прохождения обязательной государственной экологической экспертизы проектной документации объектов 1 категории, предусмотрев: сохранение режима «одного окна» в виде ФАУ «Главгосэкспертиза России»; сохранение действующего общего срока проведения государственной экспертизы (не более 60 дней); исключение требования о проведении обязательных публичных слушаний для инвестиционных проектов, реализуемых в границах действующих производств;</w:t>
      </w:r>
    </w:p>
    <w:p w:rsidR="00D9442B" w:rsidRPr="00443B09" w:rsidRDefault="00D9442B" w:rsidP="00D9442B">
      <w:pPr>
        <w:ind w:firstLine="709"/>
        <w:jc w:val="both"/>
      </w:pPr>
      <w:r w:rsidRPr="00443B09">
        <w:t>исключение материалов обоснования комплексного экологического разрешения из перечня объектов государственной экологической экспертизы;</w:t>
      </w:r>
    </w:p>
    <w:p w:rsidR="00D9442B" w:rsidRPr="00443B09" w:rsidRDefault="00D9442B" w:rsidP="00D9442B">
      <w:pPr>
        <w:ind w:firstLine="709"/>
        <w:jc w:val="both"/>
      </w:pPr>
      <w:r w:rsidRPr="00443B09">
        <w:t>подготовка предложений к проекту федерального закона «О внесении изменений в Федеральный закон «Об охране атмосферного воздуха» и отдельные законодательные акты в части обеспечения снижения загрязнения атмосферного воздуха», предусматривающему внедрения сводных расчетов загрязнения атмосферного воздуха и их применение при нормировании выбросов вредных (загрязняющих) веществ, включая использование системы квотирования таких выбросов;</w:t>
      </w:r>
    </w:p>
    <w:p w:rsidR="00D9442B" w:rsidRPr="00443B09" w:rsidRDefault="00D9442B" w:rsidP="00D9442B">
      <w:pPr>
        <w:ind w:firstLine="709"/>
        <w:jc w:val="both"/>
      </w:pPr>
      <w:r w:rsidRPr="00443B09">
        <w:t>совершенствование правового регулирования закачки сточных вод, образующихся у пользователей недр;</w:t>
      </w:r>
    </w:p>
    <w:p w:rsidR="00D9442B" w:rsidRPr="00443B09" w:rsidRDefault="00D9442B" w:rsidP="00D9442B">
      <w:pPr>
        <w:ind w:firstLine="709"/>
        <w:jc w:val="both"/>
      </w:pPr>
      <w:r w:rsidRPr="00443B09">
        <w:t xml:space="preserve">оптимизация методов количественного определения объема </w:t>
      </w:r>
      <w:r w:rsidR="006A0512" w:rsidRPr="00443B09">
        <w:t>поглощения</w:t>
      </w:r>
      <w:r w:rsidRPr="00443B09">
        <w:t xml:space="preserve"> парниковых газов;</w:t>
      </w:r>
    </w:p>
    <w:p w:rsidR="00D9442B" w:rsidRPr="00443B09" w:rsidRDefault="00D9442B" w:rsidP="00D9442B">
      <w:pPr>
        <w:ind w:firstLine="709"/>
        <w:jc w:val="both"/>
      </w:pPr>
      <w:r w:rsidRPr="00443B09">
        <w:t>участие в подготовке проектов нормативных правых актов по расширенной ответственности производителей в сфере обращения с отходами;</w:t>
      </w:r>
    </w:p>
    <w:p w:rsidR="006A0512" w:rsidRPr="00443B09" w:rsidRDefault="006A0512" w:rsidP="006A0512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443B09">
        <w:rPr>
          <w:szCs w:val="28"/>
        </w:rPr>
        <w:t>Развитие сектора ТЭК:</w:t>
      </w:r>
    </w:p>
    <w:p w:rsidR="00D9442B" w:rsidRPr="00443B09" w:rsidRDefault="00D9442B" w:rsidP="00D9442B">
      <w:pPr>
        <w:ind w:firstLine="709"/>
        <w:jc w:val="both"/>
      </w:pPr>
      <w:r w:rsidRPr="00443B09">
        <w:t>обеспечение условий для применения на практике налоговых стимулов для использования энергоэффективного оборудования;</w:t>
      </w:r>
    </w:p>
    <w:p w:rsidR="006A0512" w:rsidRPr="00443B09" w:rsidRDefault="006A0512" w:rsidP="006A0512">
      <w:pPr>
        <w:ind w:firstLine="709"/>
        <w:jc w:val="both"/>
      </w:pPr>
      <w:r w:rsidRPr="00443B09">
        <w:t>законодательное урегулирование введения налога на дополнительный доход от добычи углеводородного сырья;</w:t>
      </w:r>
    </w:p>
    <w:p w:rsidR="00D9442B" w:rsidRPr="00443B09" w:rsidRDefault="00D9442B" w:rsidP="00D9442B">
      <w:pPr>
        <w:ind w:firstLine="709"/>
        <w:jc w:val="both"/>
      </w:pPr>
      <w:r w:rsidRPr="00443B09">
        <w:t>уточнение вопросов пользования недрами и использования единой терминологии;</w:t>
      </w:r>
    </w:p>
    <w:p w:rsidR="00D9442B" w:rsidRPr="00443B09" w:rsidRDefault="00D9442B" w:rsidP="00D9442B">
      <w:pPr>
        <w:ind w:firstLine="709"/>
        <w:jc w:val="both"/>
      </w:pPr>
      <w:r w:rsidRPr="00443B09">
        <w:t>введение новых требований к порядку разработки, содержанию планов предупреждения и ликвидации аварийных разливов нефти и нефтепродуктов для объектов, расположенных на сухопутной территории Российской Федерации;</w:t>
      </w:r>
    </w:p>
    <w:p w:rsidR="00D9442B" w:rsidRPr="00443B09" w:rsidRDefault="00D9442B" w:rsidP="00D9442B">
      <w:pPr>
        <w:ind w:firstLine="709"/>
        <w:jc w:val="both"/>
      </w:pPr>
      <w:r w:rsidRPr="00443B09">
        <w:t>совершенствование Правил безопасной эксплуатации промысловых трубопроводов;</w:t>
      </w:r>
    </w:p>
    <w:p w:rsidR="00D9442B" w:rsidRDefault="00D9442B" w:rsidP="00D9442B">
      <w:pPr>
        <w:ind w:firstLine="709"/>
        <w:jc w:val="both"/>
      </w:pPr>
      <w:r w:rsidRPr="00443B09">
        <w:t>предоставление в целях геологического изучения участка недр федерального значения, расположенного во внутренних морских водах и территориа</w:t>
      </w:r>
      <w:r w:rsidR="006A0512" w:rsidRPr="00443B09">
        <w:t>льном море Российской Федерации;</w:t>
      </w:r>
    </w:p>
    <w:p w:rsidR="006C770C" w:rsidRDefault="006C770C" w:rsidP="006C770C">
      <w:pPr>
        <w:ind w:firstLine="709"/>
        <w:jc w:val="both"/>
      </w:pPr>
      <w:r>
        <w:t>проведение анализа механизма привлечения инвестиций в модернизацию тепловой генерации, в том числе альтернативных вариантов финансирования с использованием рыночных инструментов и определения энергодефицитных районов/субъектов Российской Федерации, а также разработка критериев и порядка отбора объектов для инвестирования с учетом востребованности, фактической выработки паркового ресурса генерирующего оборудования и необходимости оптимального использования инвестиционных ресурсов во избежание возможного роста нагрузки на потребителя;</w:t>
      </w:r>
    </w:p>
    <w:p w:rsidR="00B8402B" w:rsidRDefault="00B8402B" w:rsidP="00B8402B">
      <w:pPr>
        <w:ind w:firstLine="709"/>
        <w:jc w:val="both"/>
      </w:pPr>
      <w:r>
        <w:t>стимулирование развития отечественного энергомашиностроительного комплекса, наращивания компетенций по производству энергетического оборудования и строительства технологически сложных объектов;</w:t>
      </w:r>
    </w:p>
    <w:p w:rsidR="000D2C48" w:rsidRPr="00443B09" w:rsidRDefault="000D2C48" w:rsidP="000D2C48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443B09">
        <w:rPr>
          <w:szCs w:val="28"/>
        </w:rPr>
        <w:t>Создание благоприятных условий для внешнеэкономической деятельности:</w:t>
      </w:r>
    </w:p>
    <w:p w:rsidR="00D9442B" w:rsidRPr="00443B09" w:rsidRDefault="006A0512" w:rsidP="00D9442B">
      <w:pPr>
        <w:ind w:firstLine="709"/>
        <w:jc w:val="both"/>
      </w:pPr>
      <w:r w:rsidRPr="00443B09">
        <w:t>о</w:t>
      </w:r>
      <w:r w:rsidR="00D9442B" w:rsidRPr="00443B09">
        <w:t>ценка возможности присоединения к Декларации ОЭСР по международным инвестициям и многонациональным предприятиям 1976 г., включая Руководящие принципы ОЭСР для многонациональных предприятий;</w:t>
      </w:r>
    </w:p>
    <w:p w:rsidR="00D9442B" w:rsidRPr="00443B09" w:rsidRDefault="00D9442B" w:rsidP="00D9442B">
      <w:pPr>
        <w:ind w:firstLine="709"/>
        <w:jc w:val="both"/>
      </w:pPr>
      <w:r w:rsidRPr="00443B09">
        <w:t>завершение работы над проектом федерального закона «О таможенном регулировании», который содержит ряд норм, улучшающих положение деловых кругов в вопросах, регулирование которых предусмотрено на уровне национального законодательства;</w:t>
      </w:r>
    </w:p>
    <w:p w:rsidR="00D9442B" w:rsidRPr="00443B09" w:rsidRDefault="00D9442B" w:rsidP="00D9442B">
      <w:pPr>
        <w:ind w:firstLine="709"/>
        <w:jc w:val="both"/>
      </w:pPr>
      <w:r w:rsidRPr="00443B09">
        <w:t>выработка и консолидация позиции деловых кругов, диалог с органами власти по вопросам совершенствования таможенно-тарифной политике, таможенного законодательства и таможенного администрирования России и ЕАЭС; устранения барьеров и минимизации изъятий и ограничений в отношении движения товаров, услуг, капитала и рабочей силы в ЕАЭС; условиям заключения договоров ЕАЭС с третьими странами;</w:t>
      </w:r>
    </w:p>
    <w:p w:rsidR="00D9442B" w:rsidRPr="00443B09" w:rsidRDefault="00D9442B" w:rsidP="00D9442B">
      <w:pPr>
        <w:ind w:firstLine="709"/>
        <w:jc w:val="both"/>
      </w:pPr>
      <w:r w:rsidRPr="00443B09">
        <w:t>использование инструментария ВТО для обеспечения благоприятных торговых и инвестиционных условий для российского бизнеса, включая страновые обзоры, механизмы разрешения споров, реализацию Соглашения об упрощении условий торговли ВТО;</w:t>
      </w:r>
    </w:p>
    <w:p w:rsidR="00D9442B" w:rsidRPr="00443B09" w:rsidRDefault="00D9442B" w:rsidP="00D9442B">
      <w:pPr>
        <w:ind w:firstLine="709"/>
        <w:jc w:val="both"/>
      </w:pPr>
      <w:r w:rsidRPr="00443B09">
        <w:t>продвижение позиций российского бизнеса в повестке для «Группы двадцати» через взаимодействие с партнерами по «Деловой двадцатке» (B20) в рамках председательства Аргентины, Японии и Саудовской Аравии в 2018, 2019 и 2020 гг., соответственно, в том числе проведение на ежегодной основе Региональных консультативных форумов B20 в рамках Петербургского международного экономического форума (ПМЭФ);</w:t>
      </w:r>
    </w:p>
    <w:p w:rsidR="00D9442B" w:rsidRPr="00443B09" w:rsidRDefault="00D9442B" w:rsidP="00D9442B">
      <w:pPr>
        <w:ind w:firstLine="709"/>
        <w:jc w:val="both"/>
      </w:pPr>
      <w:r w:rsidRPr="00443B09">
        <w:t>обеспечение выверенного подхода к реализации решений «Группы двадцати», в том числе Плана «Группы двадцати»/ОЭСР по борьбе с размыванием налогооблагаемой базы и перемещением прибыли и Принципов корпоративного управления «Группы двадцати»/ОЭСР, основанного на принципах учета национальных условий, интересов бизнеса и опыта партнеров по «двадцатке» и БРИКС;</w:t>
      </w:r>
    </w:p>
    <w:p w:rsidR="00D9442B" w:rsidRPr="00443B09" w:rsidRDefault="00D9442B" w:rsidP="00D9442B">
      <w:pPr>
        <w:ind w:firstLine="709"/>
        <w:jc w:val="both"/>
      </w:pPr>
      <w:r w:rsidRPr="00443B09">
        <w:t>укрепление практического вектора сотрудничества с партнерами по БРИКС для достижения заявленных в 2015 году на саммите в Уфе целей показателей взаимной торговли в 500 млрд долларов к 2020 году, снижения зависимости национальных экономик от доллара США и углубления инвестиционного сотрудничества;</w:t>
      </w:r>
    </w:p>
    <w:p w:rsidR="00D9442B" w:rsidRPr="00443B09" w:rsidRDefault="00D9442B" w:rsidP="00D9442B">
      <w:pPr>
        <w:ind w:firstLine="709"/>
        <w:jc w:val="both"/>
      </w:pPr>
      <w:r w:rsidRPr="00443B09">
        <w:t>обеспечение учета интересов делового сообщества и наилучших практик российских компаний в процессе имплементации инструментов Организации экономического сотрудничества и развития (ОЭСР), в том числе при разработке и реализации «дорожной карты» присоединения Российской Федерации к Декларации ОЭСР по международным инвестициям и многонациональным предприятиям, включая руководящие принципы для многосторонних предприятий;</w:t>
      </w:r>
    </w:p>
    <w:p w:rsidR="008C2CBE" w:rsidRPr="008C2CBE" w:rsidRDefault="008C2CBE" w:rsidP="008C2CBE">
      <w:pPr>
        <w:ind w:firstLine="709"/>
        <w:jc w:val="both"/>
      </w:pPr>
      <w:r w:rsidRPr="008C2CBE">
        <w:t>в период председательства Российской Федерации в органах Евразийского экономического союза и председательства РСПП в Президиуме Делового совета ЕАЭС придание ключевого значения развитию ЕАЭС по практическим направлениям экономической интеграции: торговой политике, техническому регулированию, снижению уровня нетарифной защиты, антимонопольному регулированию и развитию конкуренции, координации транспортной и промышленной политики, финансовым рынкам, общему рынку электроэнергии; вовлечение в орбиту интеграции социальных, гуманитарных, научно-технических направлений, развитие сотрудничества в экологии, культуре, спорте, туризме;</w:t>
      </w:r>
    </w:p>
    <w:p w:rsidR="008C2CBE" w:rsidRPr="008C2CBE" w:rsidRDefault="008C2CBE" w:rsidP="008C2CBE">
      <w:pPr>
        <w:ind w:firstLine="709"/>
        <w:jc w:val="both"/>
      </w:pPr>
      <w:r w:rsidRPr="008C2CBE">
        <w:t xml:space="preserve">в связи с вступлением в действие Таможенного кодекса ЕАЭС </w:t>
      </w:r>
      <w:r>
        <w:t xml:space="preserve">завершение работы над проектом федерального закона «О таможенном регулировании», который содержит ряд норм, улучшающих положение деловых кругов в вопросах, регулирование которых предусмотрено на уровне национального законодательства, </w:t>
      </w:r>
      <w:r w:rsidRPr="008C2CBE">
        <w:t>участие в разработке документов, предполагающих соответствующие изменения в федеральные законы, внесение изменений в законодательные акты Российской Федерации;</w:t>
      </w:r>
    </w:p>
    <w:p w:rsidR="00A455AE" w:rsidRPr="00443B09" w:rsidRDefault="00A455AE" w:rsidP="00A455AE">
      <w:pPr>
        <w:ind w:firstLine="709"/>
        <w:jc w:val="both"/>
        <w:rPr>
          <w:szCs w:val="28"/>
        </w:rPr>
      </w:pPr>
      <w:r w:rsidRPr="008C2CBE">
        <w:t>создание необходимых условий по международному признанию работ по</w:t>
      </w:r>
      <w:r w:rsidRPr="00443B09">
        <w:rPr>
          <w:szCs w:val="28"/>
        </w:rPr>
        <w:t xml:space="preserve"> оценке соответствия продукции и в области обеспечения единства измерений;</w:t>
      </w:r>
    </w:p>
    <w:p w:rsidR="00D9442B" w:rsidRPr="00443B09" w:rsidRDefault="00D9442B" w:rsidP="00D9442B">
      <w:pPr>
        <w:ind w:firstLine="709"/>
        <w:jc w:val="both"/>
      </w:pPr>
      <w:r w:rsidRPr="00443B09">
        <w:t>содействие расширению участию российских компаний в АТЭС и Диалоговом партнерстве Россия – АСЕАН с целью продвижения совместных про</w:t>
      </w:r>
      <w:r w:rsidR="00297A33">
        <w:t>ектов с партнерами из стран АТР;</w:t>
      </w:r>
    </w:p>
    <w:p w:rsidR="000D2C48" w:rsidRPr="00443B09" w:rsidRDefault="000D2C48" w:rsidP="000D2C48">
      <w:pPr>
        <w:pStyle w:val="a3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443B09">
        <w:rPr>
          <w:szCs w:val="28"/>
        </w:rPr>
        <w:t>Повышение качества регуляторной среды:</w:t>
      </w:r>
    </w:p>
    <w:p w:rsidR="00D9442B" w:rsidRPr="00443B09" w:rsidRDefault="00D9442B" w:rsidP="00D9442B">
      <w:pPr>
        <w:ind w:firstLine="709"/>
        <w:jc w:val="both"/>
      </w:pPr>
      <w:r w:rsidRPr="00443B09">
        <w:t>облегчение условий начала бизнеса, включая внедрение возможности использования вновь создаваемыми обществами с ограниченной ответственностью типовых уставов, совершенствование процедур государственной регистрации юридических лиц и открытия ими счетов в кредитных организациях в электронной форме и т.д.;</w:t>
      </w:r>
    </w:p>
    <w:p w:rsidR="00D9442B" w:rsidRPr="00443B09" w:rsidRDefault="00D9442B" w:rsidP="00D9442B">
      <w:pPr>
        <w:ind w:firstLine="709"/>
        <w:jc w:val="both"/>
      </w:pPr>
      <w:r w:rsidRPr="00443B09">
        <w:t>закрепление в законодательстве принципа «onein – twoout» в отношении подготовки проектов нормативных правовых актов, регулирующих предпринимательскую деятельность;</w:t>
      </w:r>
    </w:p>
    <w:p w:rsidR="00A86407" w:rsidRDefault="00A86407" w:rsidP="00D9442B">
      <w:pPr>
        <w:ind w:firstLine="709"/>
        <w:jc w:val="both"/>
      </w:pPr>
      <w:r w:rsidRPr="00A86407">
        <w:t>расширение сферы проведения оценки регулирующего воздействия, в том числе на законопроекты, предусматривающие изменение ставок налогов и сборов;</w:t>
      </w:r>
    </w:p>
    <w:p w:rsidR="00D9442B" w:rsidRPr="00443B09" w:rsidRDefault="00D9442B" w:rsidP="00D9442B">
      <w:pPr>
        <w:ind w:firstLine="709"/>
        <w:jc w:val="both"/>
      </w:pPr>
      <w:r w:rsidRPr="00443B09">
        <w:t>запуск процедуры оценки фактического воздействия, совершенствование процедур антикоррупционной экспертизы и мониторинга правоприменительной практики;</w:t>
      </w:r>
    </w:p>
    <w:p w:rsidR="00D9442B" w:rsidRPr="00443B09" w:rsidRDefault="00D9442B" w:rsidP="00D9442B">
      <w:pPr>
        <w:ind w:firstLine="709"/>
        <w:jc w:val="both"/>
      </w:pPr>
      <w:r w:rsidRPr="00443B09">
        <w:t>законодательное закрепление процедуры общественного подтверждения антикоррупционных мер в организациях и стимулов внедрения корпоративной антикоррупционной политики;</w:t>
      </w:r>
    </w:p>
    <w:p w:rsidR="00D9442B" w:rsidRPr="00443B09" w:rsidRDefault="00D9442B" w:rsidP="00D9442B">
      <w:pPr>
        <w:ind w:firstLine="709"/>
        <w:jc w:val="both"/>
      </w:pPr>
      <w:r w:rsidRPr="00443B09">
        <w:t>унификация судопроизводства в различных судах и совершенствование института судебного представительства;</w:t>
      </w:r>
    </w:p>
    <w:p w:rsidR="00D9442B" w:rsidRPr="00443B09" w:rsidRDefault="00D9442B" w:rsidP="00D9442B">
      <w:pPr>
        <w:ind w:firstLine="709"/>
        <w:jc w:val="both"/>
      </w:pPr>
      <w:r w:rsidRPr="00443B09">
        <w:t>совершенствование регулирования примирительных процедур (медиации), включая применение медиации при рассмотрении дел государственными судами;</w:t>
      </w:r>
    </w:p>
    <w:p w:rsidR="00D9442B" w:rsidRPr="00443B09" w:rsidRDefault="00D9442B" w:rsidP="00D9442B">
      <w:pPr>
        <w:ind w:firstLine="709"/>
        <w:jc w:val="both"/>
      </w:pPr>
      <w:r w:rsidRPr="00443B09">
        <w:t>расширение перечня споров, которые могут быть переданы на разрешение постоянно действующих арбитражных учреждений;</w:t>
      </w:r>
    </w:p>
    <w:p w:rsidR="00D9442B" w:rsidRPr="00443B09" w:rsidRDefault="00D9442B" w:rsidP="00D9442B">
      <w:pPr>
        <w:ind w:firstLine="709"/>
        <w:jc w:val="both"/>
      </w:pPr>
      <w:r w:rsidRPr="00443B09">
        <w:t>доработка внесенного в Государственную Думу ФС РФ проекта федерального закона «О государственном контроле (надзоре) и муниципальном контроле в Российской Федерации»;</w:t>
      </w:r>
    </w:p>
    <w:p w:rsidR="00867B5D" w:rsidRDefault="00D9442B" w:rsidP="00D9442B">
      <w:pPr>
        <w:ind w:firstLine="709"/>
        <w:jc w:val="both"/>
      </w:pPr>
      <w:r w:rsidRPr="00443B09">
        <w:t>анализ практики внедрения проверочных листов при осуществлении контрольно-надзорной деятельности и подготовка предложений по сокращению проверяемых вопросов</w:t>
      </w:r>
      <w:r w:rsidR="00867B5D">
        <w:t>;</w:t>
      </w:r>
    </w:p>
    <w:p w:rsidR="00A2672D" w:rsidRDefault="00867B5D" w:rsidP="00D9442B">
      <w:pPr>
        <w:ind w:firstLine="709"/>
        <w:jc w:val="both"/>
      </w:pPr>
      <w:r>
        <w:t>подготовка</w:t>
      </w:r>
      <w:r w:rsidRPr="00867B5D">
        <w:t xml:space="preserve"> предложени</w:t>
      </w:r>
      <w:r>
        <w:t>й</w:t>
      </w:r>
      <w:r w:rsidRPr="00867B5D">
        <w:t xml:space="preserve"> по замене штрафов на предупреждение при первом нарушении в отношении всех организаций</w:t>
      </w:r>
      <w:r w:rsidR="00A2672D">
        <w:t>;</w:t>
      </w:r>
    </w:p>
    <w:p w:rsidR="00A2672D" w:rsidRDefault="00A2672D" w:rsidP="00A2672D">
      <w:pPr>
        <w:ind w:firstLine="709"/>
        <w:jc w:val="both"/>
      </w:pPr>
      <w:r>
        <w:t xml:space="preserve">создание механизма интерактивной удаленной аутентификации и идентификации клиента кредитной организации - физического лица с использованием его биометрических персональных данных; </w:t>
      </w:r>
    </w:p>
    <w:p w:rsidR="00A2672D" w:rsidRDefault="00A2672D" w:rsidP="00A2672D">
      <w:pPr>
        <w:ind w:firstLine="709"/>
        <w:jc w:val="both"/>
      </w:pPr>
      <w:r>
        <w:t>разработка предложений по законодательному регулированию использования технологий распределенных реестров в финансовой сфере; регулированию цифровых валют в РФ; предложений по снижению регуляторных требований для стартапов в сфере финансовых инноваций в целях создания благоприятных условий для внедрения инноваций;</w:t>
      </w:r>
    </w:p>
    <w:p w:rsidR="00D9442B" w:rsidRPr="00443B09" w:rsidRDefault="00A2672D" w:rsidP="00A2672D">
      <w:pPr>
        <w:ind w:firstLine="709"/>
        <w:jc w:val="both"/>
      </w:pPr>
      <w:r>
        <w:t>совершенствование регулирования в области долевого строительства, усиление контроля за деятельностью застройщиков и повышение защиты прав граждан - участников долевого строительства</w:t>
      </w:r>
      <w:r w:rsidR="00867B5D" w:rsidRPr="00867B5D">
        <w:t xml:space="preserve">. </w:t>
      </w:r>
    </w:p>
    <w:sectPr w:rsidR="00D9442B" w:rsidRPr="00443B09" w:rsidSect="004D11CE">
      <w:headerReference w:type="default" r:id="rId8"/>
      <w:pgSz w:w="11906" w:h="16838"/>
      <w:pgMar w:top="1191" w:right="1134" w:bottom="119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51" w:rsidRDefault="00911E51" w:rsidP="00A91DEE">
      <w:r>
        <w:separator/>
      </w:r>
    </w:p>
  </w:endnote>
  <w:endnote w:type="continuationSeparator" w:id="0">
    <w:p w:rsidR="00911E51" w:rsidRDefault="00911E51" w:rsidP="00A9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51" w:rsidRDefault="00911E51" w:rsidP="00A91DEE">
      <w:r>
        <w:separator/>
      </w:r>
    </w:p>
  </w:footnote>
  <w:footnote w:type="continuationSeparator" w:id="0">
    <w:p w:rsidR="00911E51" w:rsidRDefault="00911E51" w:rsidP="00A91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6749"/>
      <w:docPartObj>
        <w:docPartGallery w:val="Page Numbers (Top of Page)"/>
        <w:docPartUnique/>
      </w:docPartObj>
    </w:sdtPr>
    <w:sdtEndPr/>
    <w:sdtContent>
      <w:p w:rsidR="00A91DEE" w:rsidRDefault="009228DE" w:rsidP="00A91DEE">
        <w:pPr>
          <w:pStyle w:val="a6"/>
          <w:jc w:val="center"/>
        </w:pPr>
        <w:r>
          <w:fldChar w:fldCharType="begin"/>
        </w:r>
        <w:r w:rsidR="00BD6DA9">
          <w:instrText xml:space="preserve"> PAGE   \* MERGEFORMAT </w:instrText>
        </w:r>
        <w:r>
          <w:fldChar w:fldCharType="separate"/>
        </w:r>
        <w:r w:rsidR="00F227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723B"/>
    <w:multiLevelType w:val="hybridMultilevel"/>
    <w:tmpl w:val="24C04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304C6"/>
    <w:multiLevelType w:val="multilevel"/>
    <w:tmpl w:val="37E490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62354B0E"/>
    <w:multiLevelType w:val="hybridMultilevel"/>
    <w:tmpl w:val="9BFCAEB8"/>
    <w:lvl w:ilvl="0" w:tplc="C464B5B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drawingGridHorizontalSpacing w:val="14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22"/>
    <w:rsid w:val="00013A82"/>
    <w:rsid w:val="000244DC"/>
    <w:rsid w:val="00084F75"/>
    <w:rsid w:val="00085E77"/>
    <w:rsid w:val="000933BF"/>
    <w:rsid w:val="00095FCD"/>
    <w:rsid w:val="000C244D"/>
    <w:rsid w:val="000D2C48"/>
    <w:rsid w:val="000E703A"/>
    <w:rsid w:val="00100F16"/>
    <w:rsid w:val="001377BE"/>
    <w:rsid w:val="00144D16"/>
    <w:rsid w:val="001472AA"/>
    <w:rsid w:val="0016377C"/>
    <w:rsid w:val="001804CC"/>
    <w:rsid w:val="00197375"/>
    <w:rsid w:val="001E1DEB"/>
    <w:rsid w:val="0021447B"/>
    <w:rsid w:val="0023747E"/>
    <w:rsid w:val="00245320"/>
    <w:rsid w:val="002529DB"/>
    <w:rsid w:val="00285E7B"/>
    <w:rsid w:val="00297A33"/>
    <w:rsid w:val="002C1AB5"/>
    <w:rsid w:val="00311E2F"/>
    <w:rsid w:val="00330FDD"/>
    <w:rsid w:val="00353D31"/>
    <w:rsid w:val="003C338D"/>
    <w:rsid w:val="004324FA"/>
    <w:rsid w:val="00442583"/>
    <w:rsid w:val="004429FC"/>
    <w:rsid w:val="00443B09"/>
    <w:rsid w:val="00471F70"/>
    <w:rsid w:val="004823B9"/>
    <w:rsid w:val="004A05EA"/>
    <w:rsid w:val="004D11CE"/>
    <w:rsid w:val="00534D31"/>
    <w:rsid w:val="005A1F51"/>
    <w:rsid w:val="005F1AD0"/>
    <w:rsid w:val="006A0512"/>
    <w:rsid w:val="006C770C"/>
    <w:rsid w:val="006D2EC3"/>
    <w:rsid w:val="0071764C"/>
    <w:rsid w:val="0078232D"/>
    <w:rsid w:val="007A3822"/>
    <w:rsid w:val="007B202B"/>
    <w:rsid w:val="007C67CF"/>
    <w:rsid w:val="007E635B"/>
    <w:rsid w:val="007F1DE2"/>
    <w:rsid w:val="008314F9"/>
    <w:rsid w:val="00852D8C"/>
    <w:rsid w:val="00867B5D"/>
    <w:rsid w:val="00871FF1"/>
    <w:rsid w:val="008720D6"/>
    <w:rsid w:val="008A6CCB"/>
    <w:rsid w:val="008C2CBE"/>
    <w:rsid w:val="008D7CB5"/>
    <w:rsid w:val="008E0D96"/>
    <w:rsid w:val="008E765A"/>
    <w:rsid w:val="008F3945"/>
    <w:rsid w:val="00900517"/>
    <w:rsid w:val="00911E51"/>
    <w:rsid w:val="009228DE"/>
    <w:rsid w:val="0095628B"/>
    <w:rsid w:val="00960FD7"/>
    <w:rsid w:val="009612A2"/>
    <w:rsid w:val="009B5C9F"/>
    <w:rsid w:val="009C553E"/>
    <w:rsid w:val="00A03297"/>
    <w:rsid w:val="00A03FA3"/>
    <w:rsid w:val="00A0794C"/>
    <w:rsid w:val="00A2435A"/>
    <w:rsid w:val="00A2672D"/>
    <w:rsid w:val="00A36543"/>
    <w:rsid w:val="00A401F1"/>
    <w:rsid w:val="00A455AE"/>
    <w:rsid w:val="00A675BC"/>
    <w:rsid w:val="00A86407"/>
    <w:rsid w:val="00A91DEE"/>
    <w:rsid w:val="00B025D7"/>
    <w:rsid w:val="00B41219"/>
    <w:rsid w:val="00B50555"/>
    <w:rsid w:val="00B5491D"/>
    <w:rsid w:val="00B7123A"/>
    <w:rsid w:val="00B8168A"/>
    <w:rsid w:val="00B8402B"/>
    <w:rsid w:val="00BC58C8"/>
    <w:rsid w:val="00BD2814"/>
    <w:rsid w:val="00BD6DA9"/>
    <w:rsid w:val="00C47DAC"/>
    <w:rsid w:val="00C557AE"/>
    <w:rsid w:val="00C6271F"/>
    <w:rsid w:val="00C84A11"/>
    <w:rsid w:val="00C85D8A"/>
    <w:rsid w:val="00CB5DDC"/>
    <w:rsid w:val="00CF181B"/>
    <w:rsid w:val="00CF38B9"/>
    <w:rsid w:val="00CF5E24"/>
    <w:rsid w:val="00D13FA8"/>
    <w:rsid w:val="00D22EA7"/>
    <w:rsid w:val="00D2562D"/>
    <w:rsid w:val="00D55F32"/>
    <w:rsid w:val="00D77DE0"/>
    <w:rsid w:val="00D9442B"/>
    <w:rsid w:val="00DE5D11"/>
    <w:rsid w:val="00E02BC4"/>
    <w:rsid w:val="00E176A4"/>
    <w:rsid w:val="00E406B0"/>
    <w:rsid w:val="00E810F9"/>
    <w:rsid w:val="00EB6000"/>
    <w:rsid w:val="00EC3634"/>
    <w:rsid w:val="00F22713"/>
    <w:rsid w:val="00F34551"/>
    <w:rsid w:val="00F55332"/>
    <w:rsid w:val="00F61A05"/>
    <w:rsid w:val="00F82A6B"/>
    <w:rsid w:val="00F95588"/>
    <w:rsid w:val="00FB5A73"/>
    <w:rsid w:val="00FE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22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A38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1D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DEE"/>
    <w:rPr>
      <w:rFonts w:eastAsia="Times New Roman"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A91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DEE"/>
    <w:rPr>
      <w:rFonts w:eastAsia="Times New Roman"/>
      <w:sz w:val="28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B5D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a0"/>
    <w:link w:val="aa"/>
    <w:uiPriority w:val="11"/>
    <w:rsid w:val="00CB5D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22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A38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1D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DEE"/>
    <w:rPr>
      <w:rFonts w:eastAsia="Times New Roman"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A91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DEE"/>
    <w:rPr>
      <w:rFonts w:eastAsia="Times New Roman"/>
      <w:sz w:val="28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B5D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a0"/>
    <w:link w:val="aa"/>
    <w:uiPriority w:val="11"/>
    <w:rsid w:val="00CB5D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Рыжкина Татьяна Григорьевна</dc:creator>
  <cp:lastModifiedBy>Глухова Мария Николаевна</cp:lastModifiedBy>
  <cp:revision>3</cp:revision>
  <cp:lastPrinted>2018-02-20T07:40:00Z</cp:lastPrinted>
  <dcterms:created xsi:type="dcterms:W3CDTF">2018-02-20T07:37:00Z</dcterms:created>
  <dcterms:modified xsi:type="dcterms:W3CDTF">2018-02-20T07:40:00Z</dcterms:modified>
</cp:coreProperties>
</file>