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xlsm" ContentType="application/vnd.ms-excel.sheet.macroEnabled.12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2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4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E40E9" w14:textId="35BAAA76" w:rsidR="006C460D" w:rsidRDefault="00A55AAF" w:rsidP="006C460D">
      <w:pPr>
        <w:pStyle w:val="a"/>
        <w:keepNext/>
        <w:numPr>
          <w:ilvl w:val="0"/>
          <w:numId w:val="0"/>
        </w:numPr>
        <w:jc w:val="center"/>
        <w:rPr>
          <w:b/>
          <w:sz w:val="24"/>
          <w:szCs w:val="24"/>
          <w:lang w:val="ru-RU"/>
        </w:rPr>
      </w:pPr>
      <w:r>
        <w:rPr>
          <w:noProof/>
          <w:lang w:val="en-US" w:bidi="ar-SA"/>
        </w:rPr>
        <w:drawing>
          <wp:inline distT="0" distB="0" distL="0" distR="0" wp14:anchorId="552A38DF" wp14:editId="4FD4B234">
            <wp:extent cx="5041900" cy="762000"/>
            <wp:effectExtent l="0" t="0" r="12700" b="0"/>
            <wp:docPr id="6" name="Рисунок 1" descr="Российский союз промышленников и предпринима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ссийский союз промышленников и предпринимател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26BE7" w14:textId="745471EB" w:rsidR="006C460D" w:rsidRPr="00330C35" w:rsidRDefault="006C460D" w:rsidP="006C460D">
      <w:pPr>
        <w:pStyle w:val="a"/>
        <w:keepNext/>
        <w:numPr>
          <w:ilvl w:val="0"/>
          <w:numId w:val="0"/>
        </w:numPr>
        <w:spacing w:after="0"/>
        <w:jc w:val="center"/>
        <w:rPr>
          <w:b/>
          <w:color w:val="365F91"/>
          <w:sz w:val="40"/>
          <w:szCs w:val="24"/>
          <w:lang w:val="ru-RU"/>
        </w:rPr>
      </w:pPr>
      <w:r w:rsidRPr="00330C35">
        <w:rPr>
          <w:rFonts w:ascii="Calibri" w:hAnsi="Calibri" w:cs="Calibri"/>
          <w:b/>
          <w:color w:val="365F91"/>
          <w:sz w:val="32"/>
          <w:szCs w:val="21"/>
          <w:lang w:val="ru-RU"/>
        </w:rPr>
        <w:t>Комисси</w:t>
      </w:r>
      <w:r w:rsidR="00EA4551" w:rsidRPr="00696158">
        <w:rPr>
          <w:rFonts w:ascii="Calibri" w:hAnsi="Calibri" w:cs="Calibri"/>
          <w:b/>
          <w:color w:val="365F91"/>
          <w:sz w:val="32"/>
          <w:szCs w:val="21"/>
          <w:lang w:val="ru-RU"/>
        </w:rPr>
        <w:t>я</w:t>
      </w:r>
      <w:r w:rsidRPr="00330C35">
        <w:rPr>
          <w:rFonts w:ascii="Calibri" w:hAnsi="Calibri" w:cs="Calibri"/>
          <w:b/>
          <w:color w:val="365F91"/>
          <w:sz w:val="32"/>
          <w:szCs w:val="21"/>
          <w:lang w:val="ru-RU"/>
        </w:rPr>
        <w:t xml:space="preserve"> РСПП по рыбному хозяйству и </w:t>
      </w:r>
      <w:proofErr w:type="spellStart"/>
      <w:r w:rsidRPr="00330C35">
        <w:rPr>
          <w:rFonts w:ascii="Calibri" w:hAnsi="Calibri" w:cs="Calibri"/>
          <w:b/>
          <w:color w:val="365F91"/>
          <w:sz w:val="32"/>
          <w:szCs w:val="21"/>
          <w:lang w:val="ru-RU"/>
        </w:rPr>
        <w:t>аквакультуре</w:t>
      </w:r>
      <w:proofErr w:type="spellEnd"/>
    </w:p>
    <w:p w14:paraId="1E725AA8" w14:textId="77777777" w:rsidR="006C460D" w:rsidRDefault="006C460D" w:rsidP="006C460D">
      <w:pPr>
        <w:pStyle w:val="a"/>
        <w:keepNext/>
        <w:numPr>
          <w:ilvl w:val="0"/>
          <w:numId w:val="0"/>
        </w:numPr>
        <w:jc w:val="center"/>
        <w:rPr>
          <w:b/>
          <w:sz w:val="24"/>
          <w:szCs w:val="24"/>
          <w:lang w:val="ru-RU"/>
        </w:rPr>
      </w:pPr>
    </w:p>
    <w:p w14:paraId="240C9B6D" w14:textId="77777777" w:rsidR="006C460D" w:rsidRDefault="006C460D" w:rsidP="006C460D">
      <w:pPr>
        <w:pStyle w:val="a"/>
        <w:keepNext/>
        <w:numPr>
          <w:ilvl w:val="0"/>
          <w:numId w:val="0"/>
        </w:numPr>
        <w:jc w:val="center"/>
        <w:rPr>
          <w:b/>
          <w:sz w:val="24"/>
          <w:szCs w:val="24"/>
          <w:lang w:val="ru-RU"/>
        </w:rPr>
      </w:pPr>
    </w:p>
    <w:p w14:paraId="12B36783" w14:textId="77777777" w:rsidR="006C460D" w:rsidRDefault="006C460D" w:rsidP="006C460D">
      <w:pPr>
        <w:pStyle w:val="a"/>
        <w:keepNext/>
        <w:numPr>
          <w:ilvl w:val="0"/>
          <w:numId w:val="0"/>
        </w:numPr>
        <w:jc w:val="center"/>
        <w:rPr>
          <w:b/>
          <w:sz w:val="24"/>
          <w:szCs w:val="24"/>
          <w:lang w:val="ru-RU"/>
        </w:rPr>
      </w:pPr>
    </w:p>
    <w:p w14:paraId="0796C7F0" w14:textId="77777777" w:rsidR="006C460D" w:rsidRDefault="006C460D" w:rsidP="006C460D">
      <w:pPr>
        <w:pStyle w:val="a"/>
        <w:keepNext/>
        <w:numPr>
          <w:ilvl w:val="0"/>
          <w:numId w:val="0"/>
        </w:numPr>
        <w:jc w:val="center"/>
        <w:rPr>
          <w:b/>
          <w:sz w:val="24"/>
          <w:szCs w:val="24"/>
          <w:lang w:val="ru-RU"/>
        </w:rPr>
      </w:pPr>
    </w:p>
    <w:p w14:paraId="3E80F045" w14:textId="77777777" w:rsidR="006C460D" w:rsidRPr="00EA4551" w:rsidRDefault="006C460D" w:rsidP="006C460D">
      <w:pPr>
        <w:pStyle w:val="a"/>
        <w:keepNext/>
        <w:numPr>
          <w:ilvl w:val="0"/>
          <w:numId w:val="0"/>
        </w:numPr>
        <w:jc w:val="center"/>
        <w:rPr>
          <w:b/>
          <w:sz w:val="24"/>
          <w:szCs w:val="24"/>
          <w:lang w:val="en-US"/>
        </w:rPr>
      </w:pPr>
    </w:p>
    <w:p w14:paraId="300251B8" w14:textId="056A6A21" w:rsidR="006C460D" w:rsidRPr="006C460D" w:rsidRDefault="006C460D" w:rsidP="006C460D">
      <w:pPr>
        <w:pStyle w:val="a"/>
        <w:keepNext/>
        <w:numPr>
          <w:ilvl w:val="0"/>
          <w:numId w:val="0"/>
        </w:numPr>
        <w:jc w:val="center"/>
        <w:rPr>
          <w:rStyle w:val="aa"/>
          <w:i/>
          <w:sz w:val="28"/>
          <w:szCs w:val="48"/>
        </w:rPr>
      </w:pPr>
      <w:proofErr w:type="spellStart"/>
      <w:r w:rsidRPr="006C460D">
        <w:rPr>
          <w:rStyle w:val="aa"/>
          <w:i/>
          <w:sz w:val="28"/>
          <w:szCs w:val="48"/>
        </w:rPr>
        <w:t>Доклад</w:t>
      </w:r>
      <w:proofErr w:type="spellEnd"/>
      <w:r w:rsidRPr="006C460D">
        <w:rPr>
          <w:rStyle w:val="aa"/>
          <w:i/>
          <w:sz w:val="28"/>
          <w:szCs w:val="48"/>
        </w:rPr>
        <w:t xml:space="preserve"> </w:t>
      </w:r>
      <w:proofErr w:type="spellStart"/>
      <w:r w:rsidRPr="006C460D">
        <w:rPr>
          <w:rStyle w:val="aa"/>
          <w:i/>
          <w:sz w:val="28"/>
          <w:szCs w:val="48"/>
        </w:rPr>
        <w:t>Комиссии</w:t>
      </w:r>
      <w:proofErr w:type="spellEnd"/>
      <w:r w:rsidRPr="006C460D">
        <w:rPr>
          <w:rStyle w:val="aa"/>
          <w:i/>
          <w:sz w:val="28"/>
          <w:szCs w:val="48"/>
        </w:rPr>
        <w:t xml:space="preserve"> РСПП </w:t>
      </w:r>
      <w:proofErr w:type="spellStart"/>
      <w:r w:rsidRPr="006C460D">
        <w:rPr>
          <w:rStyle w:val="aa"/>
          <w:i/>
          <w:sz w:val="28"/>
          <w:szCs w:val="48"/>
        </w:rPr>
        <w:t>по</w:t>
      </w:r>
      <w:proofErr w:type="spellEnd"/>
      <w:r w:rsidRPr="006C460D">
        <w:rPr>
          <w:rStyle w:val="aa"/>
          <w:i/>
          <w:sz w:val="28"/>
          <w:szCs w:val="48"/>
        </w:rPr>
        <w:t xml:space="preserve"> </w:t>
      </w:r>
      <w:proofErr w:type="spellStart"/>
      <w:r w:rsidRPr="006C460D">
        <w:rPr>
          <w:rStyle w:val="aa"/>
          <w:i/>
          <w:sz w:val="28"/>
          <w:szCs w:val="48"/>
        </w:rPr>
        <w:t>рыбному</w:t>
      </w:r>
      <w:proofErr w:type="spellEnd"/>
      <w:r w:rsidRPr="006C460D">
        <w:rPr>
          <w:rStyle w:val="aa"/>
          <w:i/>
          <w:sz w:val="28"/>
          <w:szCs w:val="48"/>
        </w:rPr>
        <w:t xml:space="preserve"> </w:t>
      </w:r>
      <w:proofErr w:type="spellStart"/>
      <w:r w:rsidRPr="006C460D">
        <w:rPr>
          <w:rStyle w:val="aa"/>
          <w:i/>
          <w:sz w:val="28"/>
          <w:szCs w:val="48"/>
        </w:rPr>
        <w:t>хозяйству</w:t>
      </w:r>
      <w:proofErr w:type="spellEnd"/>
      <w:r w:rsidRPr="006C460D">
        <w:rPr>
          <w:rStyle w:val="aa"/>
          <w:i/>
          <w:sz w:val="28"/>
          <w:szCs w:val="48"/>
        </w:rPr>
        <w:t xml:space="preserve"> </w:t>
      </w:r>
      <w:r w:rsidRPr="006C460D">
        <w:rPr>
          <w:rStyle w:val="aa"/>
          <w:rFonts w:ascii="Times New Roman" w:hAnsi="Times New Roman"/>
          <w:i/>
          <w:sz w:val="28"/>
          <w:szCs w:val="48"/>
          <w:lang w:val="ru-RU"/>
        </w:rPr>
        <w:t xml:space="preserve">и </w:t>
      </w:r>
      <w:proofErr w:type="spellStart"/>
      <w:r w:rsidRPr="006C460D">
        <w:rPr>
          <w:rStyle w:val="aa"/>
          <w:rFonts w:ascii="Times New Roman" w:hAnsi="Times New Roman"/>
          <w:i/>
          <w:sz w:val="28"/>
          <w:szCs w:val="48"/>
          <w:lang w:val="ru-RU"/>
        </w:rPr>
        <w:t>аквакультуре</w:t>
      </w:r>
      <w:proofErr w:type="spellEnd"/>
      <w:r w:rsidRPr="006C460D">
        <w:rPr>
          <w:rStyle w:val="aa"/>
          <w:i/>
          <w:sz w:val="28"/>
          <w:szCs w:val="48"/>
        </w:rPr>
        <w:t xml:space="preserve"> </w:t>
      </w:r>
    </w:p>
    <w:p w14:paraId="4DDF3473" w14:textId="77777777" w:rsidR="006C460D" w:rsidRPr="006C460D" w:rsidRDefault="006C460D" w:rsidP="006C460D">
      <w:pPr>
        <w:pStyle w:val="a"/>
        <w:keepNext/>
        <w:numPr>
          <w:ilvl w:val="0"/>
          <w:numId w:val="0"/>
        </w:numPr>
        <w:jc w:val="center"/>
        <w:rPr>
          <w:rStyle w:val="aa"/>
          <w:sz w:val="32"/>
          <w:szCs w:val="48"/>
        </w:rPr>
      </w:pPr>
    </w:p>
    <w:p w14:paraId="367C2939" w14:textId="1244C281" w:rsidR="006C460D" w:rsidRPr="006C460D" w:rsidRDefault="006C460D" w:rsidP="006C460D">
      <w:pPr>
        <w:pStyle w:val="a"/>
        <w:keepNext/>
        <w:numPr>
          <w:ilvl w:val="0"/>
          <w:numId w:val="0"/>
        </w:numPr>
        <w:jc w:val="center"/>
        <w:rPr>
          <w:rStyle w:val="aa"/>
          <w:sz w:val="48"/>
          <w:szCs w:val="48"/>
        </w:rPr>
      </w:pPr>
      <w:proofErr w:type="spellStart"/>
      <w:r w:rsidRPr="006C460D">
        <w:rPr>
          <w:rStyle w:val="aa"/>
          <w:sz w:val="48"/>
          <w:szCs w:val="48"/>
        </w:rPr>
        <w:t>Стратегическая</w:t>
      </w:r>
      <w:proofErr w:type="spellEnd"/>
      <w:r w:rsidRPr="006C460D">
        <w:rPr>
          <w:rStyle w:val="aa"/>
          <w:sz w:val="48"/>
          <w:szCs w:val="48"/>
        </w:rPr>
        <w:t xml:space="preserve"> </w:t>
      </w:r>
      <w:proofErr w:type="spellStart"/>
      <w:r w:rsidRPr="006C460D">
        <w:rPr>
          <w:rStyle w:val="aa"/>
          <w:sz w:val="48"/>
          <w:szCs w:val="48"/>
        </w:rPr>
        <w:t>логика</w:t>
      </w:r>
      <w:proofErr w:type="spellEnd"/>
      <w:r w:rsidRPr="006C460D">
        <w:rPr>
          <w:rStyle w:val="aa"/>
          <w:sz w:val="48"/>
          <w:szCs w:val="48"/>
        </w:rPr>
        <w:t xml:space="preserve"> </w:t>
      </w:r>
      <w:proofErr w:type="spellStart"/>
      <w:r w:rsidRPr="006C460D">
        <w:rPr>
          <w:rStyle w:val="aa"/>
          <w:sz w:val="48"/>
          <w:szCs w:val="48"/>
        </w:rPr>
        <w:t>разработки</w:t>
      </w:r>
      <w:proofErr w:type="spellEnd"/>
      <w:r w:rsidRPr="006C460D">
        <w:rPr>
          <w:rStyle w:val="aa"/>
          <w:sz w:val="48"/>
          <w:szCs w:val="48"/>
        </w:rPr>
        <w:t xml:space="preserve"> </w:t>
      </w:r>
      <w:proofErr w:type="spellStart"/>
      <w:r w:rsidRPr="006C460D">
        <w:rPr>
          <w:rStyle w:val="aa"/>
          <w:sz w:val="48"/>
          <w:szCs w:val="48"/>
        </w:rPr>
        <w:t>основных</w:t>
      </w:r>
      <w:proofErr w:type="spellEnd"/>
      <w:r w:rsidRPr="006C460D">
        <w:rPr>
          <w:rStyle w:val="aa"/>
          <w:sz w:val="48"/>
          <w:szCs w:val="48"/>
        </w:rPr>
        <w:t xml:space="preserve"> </w:t>
      </w:r>
      <w:proofErr w:type="spellStart"/>
      <w:r w:rsidRPr="006C460D">
        <w:rPr>
          <w:rStyle w:val="aa"/>
          <w:sz w:val="48"/>
          <w:szCs w:val="48"/>
        </w:rPr>
        <w:t>мер</w:t>
      </w:r>
      <w:proofErr w:type="spellEnd"/>
      <w:r w:rsidRPr="006C460D">
        <w:rPr>
          <w:rStyle w:val="aa"/>
          <w:sz w:val="48"/>
          <w:szCs w:val="48"/>
        </w:rPr>
        <w:t xml:space="preserve"> </w:t>
      </w:r>
      <w:proofErr w:type="spellStart"/>
      <w:r w:rsidRPr="006C460D">
        <w:rPr>
          <w:rStyle w:val="aa"/>
          <w:sz w:val="48"/>
          <w:szCs w:val="48"/>
        </w:rPr>
        <w:t>развития</w:t>
      </w:r>
      <w:proofErr w:type="spellEnd"/>
      <w:r w:rsidRPr="006C460D">
        <w:rPr>
          <w:rStyle w:val="aa"/>
          <w:sz w:val="48"/>
          <w:szCs w:val="48"/>
        </w:rPr>
        <w:t xml:space="preserve"> </w:t>
      </w:r>
      <w:proofErr w:type="spellStart"/>
      <w:r w:rsidRPr="006C460D">
        <w:rPr>
          <w:rStyle w:val="aa"/>
          <w:sz w:val="48"/>
          <w:szCs w:val="48"/>
        </w:rPr>
        <w:t>российского</w:t>
      </w:r>
      <w:proofErr w:type="spellEnd"/>
      <w:r w:rsidRPr="006C460D">
        <w:rPr>
          <w:rStyle w:val="aa"/>
          <w:sz w:val="48"/>
          <w:szCs w:val="48"/>
        </w:rPr>
        <w:t xml:space="preserve"> </w:t>
      </w:r>
      <w:proofErr w:type="spellStart"/>
      <w:r w:rsidRPr="006C460D">
        <w:rPr>
          <w:rStyle w:val="aa"/>
          <w:sz w:val="48"/>
          <w:szCs w:val="48"/>
        </w:rPr>
        <w:t>рынка</w:t>
      </w:r>
      <w:proofErr w:type="spellEnd"/>
      <w:r w:rsidRPr="006C460D">
        <w:rPr>
          <w:rStyle w:val="aa"/>
          <w:sz w:val="48"/>
          <w:szCs w:val="48"/>
        </w:rPr>
        <w:t xml:space="preserve"> </w:t>
      </w:r>
      <w:proofErr w:type="spellStart"/>
      <w:r w:rsidRPr="006C460D">
        <w:rPr>
          <w:rStyle w:val="aa"/>
          <w:sz w:val="48"/>
          <w:szCs w:val="48"/>
        </w:rPr>
        <w:t>рыбопродукции</w:t>
      </w:r>
      <w:proofErr w:type="spellEnd"/>
      <w:r w:rsidRPr="006C460D">
        <w:rPr>
          <w:rStyle w:val="aa"/>
          <w:sz w:val="48"/>
          <w:szCs w:val="48"/>
        </w:rPr>
        <w:t xml:space="preserve"> и </w:t>
      </w:r>
      <w:proofErr w:type="spellStart"/>
      <w:r w:rsidRPr="006C460D">
        <w:rPr>
          <w:rStyle w:val="aa"/>
          <w:sz w:val="48"/>
          <w:szCs w:val="48"/>
        </w:rPr>
        <w:t>повышения</w:t>
      </w:r>
      <w:proofErr w:type="spellEnd"/>
      <w:r w:rsidRPr="006C460D">
        <w:rPr>
          <w:rStyle w:val="aa"/>
          <w:sz w:val="48"/>
          <w:szCs w:val="48"/>
        </w:rPr>
        <w:t xml:space="preserve"> </w:t>
      </w:r>
      <w:proofErr w:type="spellStart"/>
      <w:r w:rsidRPr="006C460D">
        <w:rPr>
          <w:rStyle w:val="aa"/>
          <w:sz w:val="48"/>
          <w:szCs w:val="48"/>
        </w:rPr>
        <w:t>продаж</w:t>
      </w:r>
      <w:proofErr w:type="spellEnd"/>
      <w:r w:rsidRPr="006C460D">
        <w:rPr>
          <w:rStyle w:val="aa"/>
          <w:sz w:val="48"/>
          <w:szCs w:val="48"/>
        </w:rPr>
        <w:t xml:space="preserve"> </w:t>
      </w:r>
      <w:proofErr w:type="spellStart"/>
      <w:r w:rsidRPr="006C460D">
        <w:rPr>
          <w:rStyle w:val="aa"/>
          <w:sz w:val="48"/>
          <w:szCs w:val="48"/>
        </w:rPr>
        <w:t>продукции</w:t>
      </w:r>
      <w:proofErr w:type="spellEnd"/>
      <w:r w:rsidRPr="006C460D">
        <w:rPr>
          <w:rStyle w:val="aa"/>
          <w:sz w:val="48"/>
          <w:szCs w:val="48"/>
        </w:rPr>
        <w:t xml:space="preserve"> с </w:t>
      </w:r>
      <w:proofErr w:type="spellStart"/>
      <w:r w:rsidRPr="006C460D">
        <w:rPr>
          <w:rStyle w:val="aa"/>
          <w:sz w:val="48"/>
          <w:szCs w:val="48"/>
        </w:rPr>
        <w:t>высокой</w:t>
      </w:r>
      <w:proofErr w:type="spellEnd"/>
      <w:r w:rsidRPr="006C460D">
        <w:rPr>
          <w:rStyle w:val="aa"/>
          <w:sz w:val="48"/>
          <w:szCs w:val="48"/>
        </w:rPr>
        <w:t xml:space="preserve"> </w:t>
      </w:r>
      <w:proofErr w:type="spellStart"/>
      <w:r w:rsidRPr="006C460D">
        <w:rPr>
          <w:rStyle w:val="aa"/>
          <w:sz w:val="48"/>
          <w:szCs w:val="48"/>
        </w:rPr>
        <w:t>степенью</w:t>
      </w:r>
      <w:proofErr w:type="spellEnd"/>
      <w:r w:rsidRPr="006C460D">
        <w:rPr>
          <w:rStyle w:val="aa"/>
          <w:sz w:val="48"/>
          <w:szCs w:val="48"/>
        </w:rPr>
        <w:t xml:space="preserve"> </w:t>
      </w:r>
      <w:proofErr w:type="spellStart"/>
      <w:r w:rsidRPr="006C460D">
        <w:rPr>
          <w:rStyle w:val="aa"/>
          <w:sz w:val="48"/>
          <w:szCs w:val="48"/>
        </w:rPr>
        <w:t>переработки</w:t>
      </w:r>
      <w:proofErr w:type="spellEnd"/>
      <w:r w:rsidRPr="006C460D">
        <w:rPr>
          <w:rStyle w:val="aa"/>
          <w:sz w:val="48"/>
          <w:szCs w:val="48"/>
        </w:rPr>
        <w:t xml:space="preserve"> </w:t>
      </w:r>
      <w:proofErr w:type="spellStart"/>
      <w:r w:rsidRPr="006C460D">
        <w:rPr>
          <w:rStyle w:val="aa"/>
          <w:sz w:val="48"/>
          <w:szCs w:val="48"/>
        </w:rPr>
        <w:t>на</w:t>
      </w:r>
      <w:proofErr w:type="spellEnd"/>
      <w:r w:rsidRPr="006C460D">
        <w:rPr>
          <w:rStyle w:val="aa"/>
          <w:sz w:val="48"/>
          <w:szCs w:val="48"/>
        </w:rPr>
        <w:t xml:space="preserve"> </w:t>
      </w:r>
      <w:proofErr w:type="spellStart"/>
      <w:r w:rsidRPr="006C460D">
        <w:rPr>
          <w:rStyle w:val="aa"/>
          <w:sz w:val="48"/>
          <w:szCs w:val="48"/>
        </w:rPr>
        <w:t>внешних</w:t>
      </w:r>
      <w:proofErr w:type="spellEnd"/>
      <w:r w:rsidRPr="006C460D">
        <w:rPr>
          <w:rStyle w:val="aa"/>
          <w:sz w:val="48"/>
          <w:szCs w:val="48"/>
        </w:rPr>
        <w:t xml:space="preserve"> </w:t>
      </w:r>
      <w:proofErr w:type="spellStart"/>
      <w:r w:rsidRPr="006C460D">
        <w:rPr>
          <w:rStyle w:val="aa"/>
          <w:sz w:val="48"/>
          <w:szCs w:val="48"/>
        </w:rPr>
        <w:t>рынках</w:t>
      </w:r>
      <w:proofErr w:type="spellEnd"/>
    </w:p>
    <w:p w14:paraId="0CCD6AEF" w14:textId="77777777" w:rsidR="006C460D" w:rsidRDefault="006C460D" w:rsidP="006C460D">
      <w:pPr>
        <w:pStyle w:val="a"/>
        <w:keepNext/>
        <w:numPr>
          <w:ilvl w:val="0"/>
          <w:numId w:val="0"/>
        </w:numPr>
        <w:rPr>
          <w:sz w:val="24"/>
          <w:szCs w:val="24"/>
          <w:lang w:val="ru-RU"/>
        </w:rPr>
      </w:pPr>
    </w:p>
    <w:p w14:paraId="3F8BFF42" w14:textId="77777777" w:rsidR="006C460D" w:rsidRDefault="006C460D" w:rsidP="006C460D">
      <w:pPr>
        <w:pStyle w:val="a"/>
        <w:keepNext/>
        <w:numPr>
          <w:ilvl w:val="0"/>
          <w:numId w:val="0"/>
        </w:numPr>
        <w:jc w:val="center"/>
        <w:rPr>
          <w:sz w:val="24"/>
          <w:szCs w:val="24"/>
          <w:lang w:val="ru-RU"/>
        </w:rPr>
      </w:pPr>
    </w:p>
    <w:p w14:paraId="78CC55CC" w14:textId="77777777" w:rsidR="006C460D" w:rsidRDefault="006C460D" w:rsidP="006C460D">
      <w:pPr>
        <w:pStyle w:val="a"/>
        <w:keepNext/>
        <w:numPr>
          <w:ilvl w:val="0"/>
          <w:numId w:val="0"/>
        </w:numPr>
        <w:jc w:val="center"/>
        <w:rPr>
          <w:sz w:val="24"/>
          <w:szCs w:val="24"/>
          <w:lang w:val="ru-RU"/>
        </w:rPr>
      </w:pPr>
    </w:p>
    <w:p w14:paraId="34AE2EFA" w14:textId="77777777" w:rsidR="006C460D" w:rsidRDefault="006C460D" w:rsidP="00A55AAF">
      <w:pPr>
        <w:pStyle w:val="a"/>
        <w:keepNext/>
        <w:numPr>
          <w:ilvl w:val="0"/>
          <w:numId w:val="0"/>
        </w:numPr>
        <w:rPr>
          <w:sz w:val="24"/>
          <w:szCs w:val="24"/>
          <w:lang w:val="ru-RU"/>
        </w:rPr>
      </w:pPr>
    </w:p>
    <w:p w14:paraId="291E4261" w14:textId="77777777" w:rsidR="00DF4F32" w:rsidRDefault="00DF4F32" w:rsidP="006C460D">
      <w:pPr>
        <w:pStyle w:val="a"/>
        <w:keepNext/>
        <w:numPr>
          <w:ilvl w:val="0"/>
          <w:numId w:val="0"/>
        </w:numPr>
        <w:jc w:val="center"/>
        <w:rPr>
          <w:sz w:val="24"/>
          <w:szCs w:val="24"/>
          <w:lang w:val="ru-RU"/>
        </w:rPr>
      </w:pPr>
    </w:p>
    <w:p w14:paraId="38BDCD52" w14:textId="77777777" w:rsidR="006C460D" w:rsidRPr="006C460D" w:rsidRDefault="006C460D" w:rsidP="006C460D">
      <w:pPr>
        <w:pStyle w:val="a"/>
        <w:keepNext/>
        <w:numPr>
          <w:ilvl w:val="0"/>
          <w:numId w:val="0"/>
        </w:numPr>
        <w:jc w:val="center"/>
        <w:rPr>
          <w:sz w:val="24"/>
          <w:szCs w:val="24"/>
          <w:lang w:val="en-US"/>
        </w:rPr>
      </w:pPr>
    </w:p>
    <w:p w14:paraId="647A94C2" w14:textId="77777777" w:rsidR="006C460D" w:rsidRDefault="006C460D" w:rsidP="006C460D">
      <w:pPr>
        <w:pStyle w:val="a"/>
        <w:keepNext/>
        <w:numPr>
          <w:ilvl w:val="0"/>
          <w:numId w:val="0"/>
        </w:numPr>
        <w:jc w:val="center"/>
        <w:rPr>
          <w:sz w:val="24"/>
          <w:szCs w:val="24"/>
          <w:lang w:val="ru-RU"/>
        </w:rPr>
      </w:pPr>
    </w:p>
    <w:p w14:paraId="4DA9CBBD" w14:textId="77777777" w:rsidR="006C460D" w:rsidRDefault="006C460D" w:rsidP="006C460D">
      <w:pPr>
        <w:pStyle w:val="a"/>
        <w:keepNext/>
        <w:numPr>
          <w:ilvl w:val="0"/>
          <w:numId w:val="0"/>
        </w:numPr>
        <w:spacing w:after="0"/>
        <w:jc w:val="center"/>
        <w:rPr>
          <w:sz w:val="24"/>
          <w:szCs w:val="24"/>
          <w:lang w:val="ru-RU"/>
        </w:rPr>
      </w:pPr>
    </w:p>
    <w:p w14:paraId="05F9F5C5" w14:textId="77777777" w:rsidR="006C460D" w:rsidRDefault="006C460D" w:rsidP="006C460D">
      <w:pPr>
        <w:pStyle w:val="a"/>
        <w:keepNext/>
        <w:numPr>
          <w:ilvl w:val="0"/>
          <w:numId w:val="0"/>
        </w:numPr>
        <w:spacing w:after="0"/>
        <w:jc w:val="center"/>
        <w:rPr>
          <w:sz w:val="24"/>
          <w:szCs w:val="24"/>
          <w:lang w:val="ru-RU"/>
        </w:rPr>
      </w:pPr>
    </w:p>
    <w:p w14:paraId="217E063A" w14:textId="77777777" w:rsidR="00DF4F32" w:rsidRDefault="00DF4F32" w:rsidP="006C460D">
      <w:pPr>
        <w:pStyle w:val="a"/>
        <w:keepNext/>
        <w:numPr>
          <w:ilvl w:val="0"/>
          <w:numId w:val="0"/>
        </w:numPr>
        <w:spacing w:after="0"/>
        <w:jc w:val="center"/>
        <w:rPr>
          <w:sz w:val="24"/>
          <w:szCs w:val="24"/>
          <w:lang w:val="ru-RU"/>
        </w:rPr>
      </w:pPr>
    </w:p>
    <w:p w14:paraId="6FEBED59" w14:textId="77777777" w:rsidR="00DF4F32" w:rsidRDefault="00DF4F32" w:rsidP="00DF4F32">
      <w:pPr>
        <w:pStyle w:val="a"/>
        <w:keepNext/>
        <w:numPr>
          <w:ilvl w:val="0"/>
          <w:numId w:val="0"/>
        </w:numPr>
        <w:spacing w:after="0"/>
        <w:jc w:val="center"/>
        <w:rPr>
          <w:sz w:val="24"/>
          <w:szCs w:val="24"/>
          <w:lang w:val="ru-RU"/>
        </w:rPr>
      </w:pPr>
    </w:p>
    <w:p w14:paraId="48FD571C" w14:textId="77777777" w:rsidR="00DF4F32" w:rsidRDefault="00DF4F32" w:rsidP="00DF4F32">
      <w:pPr>
        <w:pStyle w:val="a"/>
        <w:keepNext/>
        <w:numPr>
          <w:ilvl w:val="0"/>
          <w:numId w:val="0"/>
        </w:numPr>
        <w:spacing w:after="0"/>
        <w:jc w:val="center"/>
        <w:rPr>
          <w:sz w:val="24"/>
          <w:szCs w:val="24"/>
          <w:lang w:val="ru-RU"/>
        </w:rPr>
      </w:pPr>
    </w:p>
    <w:p w14:paraId="5F3F7BD2" w14:textId="7AC197DD" w:rsidR="00DF4F32" w:rsidRPr="00DF4F32" w:rsidRDefault="006C460D" w:rsidP="00DF4F32">
      <w:pPr>
        <w:pStyle w:val="a"/>
        <w:keepNext/>
        <w:numPr>
          <w:ilvl w:val="0"/>
          <w:numId w:val="0"/>
        </w:num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ru-RU" w:eastAsia="x-none"/>
        </w:rPr>
      </w:pPr>
      <w:r w:rsidRPr="00330C35">
        <w:rPr>
          <w:sz w:val="24"/>
          <w:szCs w:val="24"/>
          <w:lang w:val="ru-RU"/>
        </w:rPr>
        <w:t xml:space="preserve">Москва </w:t>
      </w:r>
      <w:r>
        <w:rPr>
          <w:sz w:val="24"/>
          <w:szCs w:val="24"/>
          <w:lang w:val="ru-RU"/>
        </w:rPr>
        <w:t>–</w:t>
      </w:r>
      <w:r w:rsidRPr="00330C35"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апрель </w:t>
      </w:r>
      <w:r w:rsidRPr="00330C35">
        <w:rPr>
          <w:sz w:val="24"/>
          <w:szCs w:val="24"/>
          <w:lang w:val="ru-RU"/>
        </w:rPr>
        <w:t>2012</w:t>
      </w:r>
    </w:p>
    <w:p w14:paraId="6553818A" w14:textId="74557C20" w:rsidR="00DD4A23" w:rsidRPr="00DD4A23" w:rsidRDefault="00D424AB" w:rsidP="00D1166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lastRenderedPageBreak/>
        <w:t xml:space="preserve">     </w:t>
      </w:r>
      <w:r w:rsidR="00DD4A23">
        <w:rPr>
          <w:rFonts w:ascii="Times New Roman" w:hAnsi="Times New Roman"/>
          <w:b/>
          <w:color w:val="262626"/>
          <w:sz w:val="28"/>
          <w:szCs w:val="28"/>
        </w:rPr>
        <w:t xml:space="preserve">1. </w:t>
      </w:r>
      <w:r w:rsidR="00DD4A23" w:rsidRPr="00DD4A23">
        <w:rPr>
          <w:rFonts w:ascii="Times New Roman" w:hAnsi="Times New Roman"/>
          <w:b/>
          <w:color w:val="262626"/>
          <w:sz w:val="28"/>
          <w:szCs w:val="28"/>
        </w:rPr>
        <w:t>О</w:t>
      </w:r>
      <w:r w:rsidR="00D1166B">
        <w:rPr>
          <w:rFonts w:ascii="Times New Roman" w:hAnsi="Times New Roman"/>
          <w:b/>
          <w:color w:val="262626"/>
          <w:sz w:val="28"/>
          <w:szCs w:val="28"/>
        </w:rPr>
        <w:t xml:space="preserve">ГРАНИЧЕНИЯ ДЛЯ РОСТА РЫНКА РЫБОПРОДУКЦИИ: ПОКУПАТЕЛЬСКАЯ СПОСОБНОСТЬ НАСЕЛЕНИЯ, «ЛОГИСТИЧЕСКОЕ ТРЕНИЕ» </w:t>
      </w:r>
    </w:p>
    <w:p w14:paraId="1FAFCAE2" w14:textId="737FC040" w:rsidR="00347A4C" w:rsidRPr="009B1591" w:rsidRDefault="009B1591" w:rsidP="00D1166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262626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color w:val="262626"/>
          <w:sz w:val="28"/>
          <w:szCs w:val="28"/>
          <w:lang w:val="en-US"/>
        </w:rPr>
        <w:t>Р</w:t>
      </w:r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оссийский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рынок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рыбопродукции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не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очень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ёмкий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.</w:t>
      </w:r>
      <w:proofErr w:type="gram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 </w:t>
      </w:r>
      <w:proofErr w:type="spellStart"/>
      <w:proofErr w:type="gram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Доля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расходов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на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покупку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рыбопродукции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в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общих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расходах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на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покупку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продуктов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питания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отстаёт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от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мно</w:t>
      </w:r>
      <w:r>
        <w:rPr>
          <w:rFonts w:ascii="Times New Roman" w:hAnsi="Times New Roman"/>
          <w:color w:val="262626"/>
          <w:sz w:val="28"/>
          <w:szCs w:val="28"/>
          <w:lang w:val="en-US"/>
        </w:rPr>
        <w:t>гих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262626"/>
          <w:sz w:val="28"/>
          <w:szCs w:val="28"/>
          <w:lang w:val="en-US"/>
        </w:rPr>
        <w:t>видов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262626"/>
          <w:sz w:val="28"/>
          <w:szCs w:val="28"/>
          <w:lang w:val="en-US"/>
        </w:rPr>
        <w:t>продовольствия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262626"/>
          <w:sz w:val="28"/>
          <w:szCs w:val="28"/>
          <w:lang w:val="en-US"/>
        </w:rPr>
        <w:t>Д</w:t>
      </w:r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оля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расходов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на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покупку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мяса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и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мясопродуктов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составляет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28,9%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общих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расходов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на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покупку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продуктов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питания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,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доля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расходов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на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покупку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хлеба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и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хлебопродуктов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– 17%,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доля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расходов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на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покупку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плодоовощной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продукции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(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включая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картофель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) – 14%,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доля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расходов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на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приобретение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молока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и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молокопродуктов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– 13,5%,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доля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расходов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на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покупку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сахара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и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кондитерских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изделий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– 8,2%,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доля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расходов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на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покупку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рыбопродукции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– 10%,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доля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расходов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на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покупку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масложировой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продукции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– 2,7%. </w:t>
      </w:r>
    </w:p>
    <w:p w14:paraId="3554A429" w14:textId="1B177408" w:rsidR="00DB70BC" w:rsidRDefault="009B1591" w:rsidP="00D1166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262626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color w:val="262626"/>
          <w:sz w:val="28"/>
          <w:szCs w:val="28"/>
          <w:lang w:val="en-US"/>
        </w:rPr>
        <w:t>Емкость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262626"/>
          <w:sz w:val="28"/>
          <w:szCs w:val="28"/>
          <w:lang w:val="en-US"/>
        </w:rPr>
        <w:t>рынка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262626"/>
          <w:sz w:val="28"/>
          <w:szCs w:val="28"/>
          <w:lang w:val="en-US"/>
        </w:rPr>
        <w:t>рыбопродукции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262626"/>
          <w:sz w:val="28"/>
          <w:szCs w:val="28"/>
          <w:lang w:val="en-US"/>
        </w:rPr>
        <w:t>определяется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262626"/>
          <w:sz w:val="28"/>
          <w:szCs w:val="28"/>
          <w:lang w:val="en-US"/>
        </w:rPr>
        <w:t>располагаемыми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262626"/>
          <w:sz w:val="28"/>
          <w:szCs w:val="28"/>
          <w:lang w:val="en-US"/>
        </w:rPr>
        <w:t>денежными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262626"/>
          <w:sz w:val="28"/>
          <w:szCs w:val="28"/>
          <w:lang w:val="en-US"/>
        </w:rPr>
        <w:t>доходами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262626"/>
          <w:sz w:val="28"/>
          <w:szCs w:val="28"/>
          <w:lang w:val="en-US"/>
        </w:rPr>
        <w:t>населения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/>
          <w:color w:val="262626"/>
          <w:sz w:val="28"/>
          <w:szCs w:val="28"/>
          <w:lang w:val="en-US"/>
        </w:rPr>
        <w:t>исторической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262626"/>
          <w:sz w:val="28"/>
          <w:szCs w:val="28"/>
          <w:lang w:val="en-US"/>
        </w:rPr>
        <w:t>памятью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gram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В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соответствии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с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нормативами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Госкомтруда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СССР, в 1988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году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среднедушевое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потребление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рыбопродукции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в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Советском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Союзе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составляло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24,7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килограмма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, в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том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числе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потребление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минтая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– 10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килограмм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,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сельди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тихоокеанской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– 3,5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килограмма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,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трески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– 4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килограмма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,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камбалы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– 1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килограмм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,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леща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– 3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килограмма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.</w:t>
      </w:r>
      <w:proofErr w:type="gram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Российский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потребитель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при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среднедушевом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потреблении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рыбы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в </w:t>
      </w:r>
      <w:proofErr w:type="gram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20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килограмм</w:t>
      </w:r>
      <w:proofErr w:type="spellEnd"/>
      <w:proofErr w:type="gram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в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год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color w:val="262626"/>
          <w:sz w:val="28"/>
          <w:szCs w:val="28"/>
          <w:lang w:val="en-US"/>
        </w:rPr>
        <w:t>явно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не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готов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съедать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10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килограмм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минтая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в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год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У </w:t>
      </w:r>
      <w:proofErr w:type="spellStart"/>
      <w:r>
        <w:rPr>
          <w:rFonts w:ascii="Times New Roman" w:hAnsi="Times New Roman"/>
          <w:color w:val="262626"/>
          <w:sz w:val="28"/>
          <w:szCs w:val="28"/>
          <w:lang w:val="en-US"/>
        </w:rPr>
        <w:t>покупателя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есть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возможность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покупать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мясо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(в 1988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году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среднедушевое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потребление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мяса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и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мясопродуктов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было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52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кг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, а в 2011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году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-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свыше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90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кг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), у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него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есть</w:t>
      </w:r>
      <w:proofErr w:type="spellEnd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347A4C" w:rsidRPr="009B1591">
        <w:rPr>
          <w:rFonts w:ascii="Times New Roman" w:hAnsi="Times New Roman"/>
          <w:color w:val="262626"/>
          <w:sz w:val="28"/>
          <w:szCs w:val="28"/>
          <w:lang w:val="en-US"/>
        </w:rPr>
        <w:t>возмо</w:t>
      </w:r>
      <w:r>
        <w:rPr>
          <w:rFonts w:ascii="Times New Roman" w:hAnsi="Times New Roman"/>
          <w:color w:val="262626"/>
          <w:sz w:val="28"/>
          <w:szCs w:val="28"/>
          <w:lang w:val="en-US"/>
        </w:rPr>
        <w:t>жность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262626"/>
          <w:sz w:val="28"/>
          <w:szCs w:val="28"/>
          <w:lang w:val="en-US"/>
        </w:rPr>
        <w:t>покупать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262626"/>
          <w:sz w:val="28"/>
          <w:szCs w:val="28"/>
          <w:lang w:val="en-US"/>
        </w:rPr>
        <w:t>импортную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262626"/>
          <w:sz w:val="28"/>
          <w:szCs w:val="28"/>
          <w:lang w:val="en-US"/>
        </w:rPr>
        <w:t>рыбу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>.</w:t>
      </w:r>
      <w:proofErr w:type="gramEnd"/>
    </w:p>
    <w:p w14:paraId="022C9030" w14:textId="77777777" w:rsidR="00DD4A23" w:rsidRDefault="009B1591" w:rsidP="00D1166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262626"/>
          <w:sz w:val="28"/>
          <w:szCs w:val="28"/>
          <w:lang w:val="en-US"/>
        </w:rPr>
        <w:t>Недостаточная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262626"/>
          <w:sz w:val="28"/>
          <w:szCs w:val="28"/>
          <w:lang w:val="en-US"/>
        </w:rPr>
        <w:t>ёмкость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262626"/>
          <w:sz w:val="28"/>
          <w:szCs w:val="28"/>
          <w:lang w:val="en-US"/>
        </w:rPr>
        <w:t>рынка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262626"/>
          <w:sz w:val="28"/>
          <w:szCs w:val="28"/>
          <w:lang w:val="en-US"/>
        </w:rPr>
        <w:t>рыбопродукции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262626"/>
          <w:sz w:val="28"/>
          <w:szCs w:val="28"/>
          <w:lang w:val="en-US"/>
        </w:rPr>
        <w:t>усугубляется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r w:rsidR="00DD4A23">
        <w:rPr>
          <w:rFonts w:ascii="Times New Roman" w:hAnsi="Times New Roman"/>
          <w:color w:val="262626"/>
          <w:sz w:val="28"/>
          <w:szCs w:val="28"/>
          <w:lang w:val="en-US"/>
        </w:rPr>
        <w:t>“</w:t>
      </w:r>
      <w:proofErr w:type="spellStart"/>
      <w:r w:rsidR="00DD4A23">
        <w:rPr>
          <w:rFonts w:ascii="Times New Roman" w:hAnsi="Times New Roman"/>
          <w:color w:val="262626"/>
          <w:sz w:val="28"/>
          <w:szCs w:val="28"/>
          <w:lang w:val="en-US"/>
        </w:rPr>
        <w:t>логистическим</w:t>
      </w:r>
      <w:proofErr w:type="spellEnd"/>
      <w:r w:rsidR="00DD4A23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DD4A23">
        <w:rPr>
          <w:rFonts w:ascii="Times New Roman" w:hAnsi="Times New Roman"/>
          <w:color w:val="262626"/>
          <w:sz w:val="28"/>
          <w:szCs w:val="28"/>
          <w:lang w:val="en-US"/>
        </w:rPr>
        <w:t>трением</w:t>
      </w:r>
      <w:proofErr w:type="spellEnd"/>
      <w:r w:rsidR="00DD4A23">
        <w:rPr>
          <w:rFonts w:ascii="Times New Roman" w:hAnsi="Times New Roman"/>
          <w:color w:val="262626"/>
          <w:sz w:val="28"/>
          <w:szCs w:val="28"/>
          <w:lang w:val="en-US"/>
        </w:rPr>
        <w:t>” (</w:t>
      </w:r>
      <w:proofErr w:type="spellStart"/>
      <w:r w:rsidR="00DD4A23">
        <w:rPr>
          <w:rFonts w:ascii="Times New Roman" w:hAnsi="Times New Roman"/>
          <w:color w:val="262626"/>
          <w:sz w:val="28"/>
          <w:szCs w:val="28"/>
          <w:lang w:val="en-US"/>
        </w:rPr>
        <w:t>инфраструктурные</w:t>
      </w:r>
      <w:proofErr w:type="spellEnd"/>
      <w:r w:rsidR="00DD4A23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DD4A23">
        <w:rPr>
          <w:rFonts w:ascii="Times New Roman" w:hAnsi="Times New Roman"/>
          <w:color w:val="262626"/>
          <w:sz w:val="28"/>
          <w:szCs w:val="28"/>
          <w:lang w:val="en-US"/>
        </w:rPr>
        <w:t>ограничения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262626"/>
          <w:sz w:val="28"/>
          <w:szCs w:val="28"/>
          <w:lang w:val="en-US"/>
        </w:rPr>
        <w:t>для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262626"/>
          <w:sz w:val="28"/>
          <w:szCs w:val="28"/>
          <w:lang w:val="en-US"/>
        </w:rPr>
        <w:t>российской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262626"/>
          <w:sz w:val="28"/>
          <w:szCs w:val="28"/>
          <w:lang w:val="en-US"/>
        </w:rPr>
        <w:t>рыбопродукции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color w:val="262626"/>
          <w:sz w:val="28"/>
          <w:szCs w:val="28"/>
          <w:lang w:val="en-US"/>
        </w:rPr>
        <w:t>направляемой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262626"/>
          <w:sz w:val="28"/>
          <w:szCs w:val="28"/>
          <w:lang w:val="en-US"/>
        </w:rPr>
        <w:t>из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262626"/>
          <w:sz w:val="28"/>
          <w:szCs w:val="28"/>
          <w:lang w:val="en-US"/>
        </w:rPr>
        <w:t>Дальнего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262626"/>
          <w:sz w:val="28"/>
          <w:szCs w:val="28"/>
          <w:lang w:val="en-US"/>
        </w:rPr>
        <w:t>Востока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/>
          <w:color w:val="262626"/>
          <w:sz w:val="28"/>
          <w:szCs w:val="28"/>
          <w:lang w:val="en-US"/>
        </w:rPr>
        <w:t>европейскую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262626"/>
          <w:sz w:val="28"/>
          <w:szCs w:val="28"/>
          <w:lang w:val="en-US"/>
        </w:rPr>
        <w:t>часть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262626"/>
          <w:sz w:val="28"/>
          <w:szCs w:val="28"/>
          <w:lang w:val="en-US"/>
        </w:rPr>
        <w:t>России</w:t>
      </w:r>
      <w:proofErr w:type="spellEnd"/>
      <w:r w:rsidR="00DD4A23">
        <w:rPr>
          <w:rFonts w:ascii="Times New Roman" w:hAnsi="Times New Roman"/>
          <w:color w:val="262626"/>
          <w:sz w:val="28"/>
          <w:szCs w:val="28"/>
          <w:lang w:val="en-US"/>
        </w:rPr>
        <w:t>)</w:t>
      </w:r>
      <w:r>
        <w:rPr>
          <w:rFonts w:ascii="Times New Roman" w:hAnsi="Times New Roman"/>
          <w:color w:val="262626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proofErr w:type="gramStart"/>
      <w:r w:rsidR="00DD4A23">
        <w:rPr>
          <w:rFonts w:ascii="Times New Roman" w:hAnsi="Times New Roman"/>
          <w:color w:val="262626"/>
          <w:sz w:val="28"/>
          <w:szCs w:val="28"/>
          <w:lang w:val="en-US"/>
        </w:rPr>
        <w:t>Данная</w:t>
      </w:r>
      <w:proofErr w:type="spellEnd"/>
      <w:r w:rsidR="00DD4A23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DD4A23">
        <w:rPr>
          <w:rFonts w:ascii="Times New Roman" w:hAnsi="Times New Roman"/>
          <w:color w:val="262626"/>
          <w:sz w:val="28"/>
          <w:szCs w:val="28"/>
          <w:lang w:val="en-US"/>
        </w:rPr>
        <w:t>проблема</w:t>
      </w:r>
      <w:proofErr w:type="spellEnd"/>
      <w:r w:rsidR="00DD4A23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DD4A23">
        <w:rPr>
          <w:rFonts w:ascii="Times New Roman" w:hAnsi="Times New Roman"/>
          <w:color w:val="262626"/>
          <w:sz w:val="28"/>
          <w:szCs w:val="28"/>
          <w:lang w:val="en-US"/>
        </w:rPr>
        <w:t>неоднократно</w:t>
      </w:r>
      <w:proofErr w:type="spellEnd"/>
      <w:r w:rsidR="00DD4A23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DD4A23">
        <w:rPr>
          <w:rFonts w:ascii="Times New Roman" w:hAnsi="Times New Roman"/>
          <w:color w:val="262626"/>
          <w:sz w:val="28"/>
          <w:szCs w:val="28"/>
          <w:lang w:val="en-US"/>
        </w:rPr>
        <w:t>подтверждалась</w:t>
      </w:r>
      <w:proofErr w:type="spellEnd"/>
      <w:r w:rsidR="00DD4A23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DD4A23">
        <w:rPr>
          <w:rFonts w:ascii="Times New Roman" w:hAnsi="Times New Roman"/>
          <w:color w:val="262626"/>
          <w:sz w:val="28"/>
          <w:szCs w:val="28"/>
          <w:lang w:val="en-US"/>
        </w:rPr>
        <w:t>официальными</w:t>
      </w:r>
      <w:proofErr w:type="spellEnd"/>
      <w:r w:rsidR="00DD4A23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DD4A23">
        <w:rPr>
          <w:rFonts w:ascii="Times New Roman" w:hAnsi="Times New Roman"/>
          <w:color w:val="262626"/>
          <w:sz w:val="28"/>
          <w:szCs w:val="28"/>
          <w:lang w:val="en-US"/>
        </w:rPr>
        <w:t>документами</w:t>
      </w:r>
      <w:proofErr w:type="spellEnd"/>
      <w:r w:rsidR="00DD4A23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DD4A23">
        <w:rPr>
          <w:rFonts w:ascii="Times New Roman" w:hAnsi="Times New Roman"/>
          <w:color w:val="262626"/>
          <w:sz w:val="28"/>
          <w:szCs w:val="28"/>
          <w:lang w:val="en-US"/>
        </w:rPr>
        <w:t>федеральных</w:t>
      </w:r>
      <w:proofErr w:type="spellEnd"/>
      <w:r w:rsidR="00DD4A23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DD4A23">
        <w:rPr>
          <w:rFonts w:ascii="Times New Roman" w:hAnsi="Times New Roman"/>
          <w:color w:val="262626"/>
          <w:sz w:val="28"/>
          <w:szCs w:val="28"/>
          <w:lang w:val="en-US"/>
        </w:rPr>
        <w:t>органов</w:t>
      </w:r>
      <w:proofErr w:type="spellEnd"/>
      <w:r w:rsidR="00DD4A23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DD4A23">
        <w:rPr>
          <w:rFonts w:ascii="Times New Roman" w:hAnsi="Times New Roman"/>
          <w:color w:val="262626"/>
          <w:sz w:val="28"/>
          <w:szCs w:val="28"/>
          <w:lang w:val="en-US"/>
        </w:rPr>
        <w:t>исполнительной</w:t>
      </w:r>
      <w:proofErr w:type="spellEnd"/>
      <w:r w:rsidR="00DD4A23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DD4A23">
        <w:rPr>
          <w:rFonts w:ascii="Times New Roman" w:hAnsi="Times New Roman"/>
          <w:color w:val="262626"/>
          <w:sz w:val="28"/>
          <w:szCs w:val="28"/>
          <w:lang w:val="en-US"/>
        </w:rPr>
        <w:t>власти</w:t>
      </w:r>
      <w:proofErr w:type="spellEnd"/>
      <w:r w:rsidR="00DD4A23">
        <w:rPr>
          <w:rFonts w:ascii="Times New Roman" w:hAnsi="Times New Roman"/>
          <w:color w:val="262626"/>
          <w:sz w:val="28"/>
          <w:szCs w:val="28"/>
          <w:lang w:val="en-US"/>
        </w:rPr>
        <w:t>.</w:t>
      </w:r>
      <w:proofErr w:type="gramEnd"/>
      <w:r w:rsidR="00DD4A23">
        <w:rPr>
          <w:rFonts w:ascii="Times New Roman" w:hAnsi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A818E2" w:rsidRPr="009B1591">
        <w:rPr>
          <w:rFonts w:ascii="Times New Roman" w:hAnsi="Times New Roman"/>
          <w:sz w:val="28"/>
          <w:szCs w:val="28"/>
        </w:rPr>
        <w:t>Росрыболовство</w:t>
      </w:r>
      <w:proofErr w:type="spellEnd"/>
      <w:r w:rsidR="00A818E2" w:rsidRPr="009B1591">
        <w:rPr>
          <w:rFonts w:ascii="Times New Roman" w:hAnsi="Times New Roman"/>
          <w:sz w:val="28"/>
          <w:szCs w:val="28"/>
        </w:rPr>
        <w:t xml:space="preserve"> письмом №5849 – </w:t>
      </w:r>
      <w:proofErr w:type="spellStart"/>
      <w:r w:rsidR="00A818E2" w:rsidRPr="009B1591">
        <w:rPr>
          <w:rFonts w:ascii="Times New Roman" w:hAnsi="Times New Roman"/>
          <w:sz w:val="28"/>
          <w:szCs w:val="28"/>
        </w:rPr>
        <w:t>вх</w:t>
      </w:r>
      <w:proofErr w:type="spellEnd"/>
      <w:r w:rsidR="00A818E2" w:rsidRPr="009B1591">
        <w:rPr>
          <w:rFonts w:ascii="Times New Roman" w:hAnsi="Times New Roman"/>
          <w:sz w:val="28"/>
          <w:szCs w:val="28"/>
        </w:rPr>
        <w:t xml:space="preserve">/409 от 5 октября 2009 года информировало Первого заместителя Председателя Правительства Российской Федерации </w:t>
      </w:r>
      <w:proofErr w:type="spellStart"/>
      <w:r w:rsidR="00A818E2" w:rsidRPr="009B1591">
        <w:rPr>
          <w:rFonts w:ascii="Times New Roman" w:hAnsi="Times New Roman"/>
          <w:sz w:val="28"/>
          <w:szCs w:val="28"/>
        </w:rPr>
        <w:t>В.А.Зубкова</w:t>
      </w:r>
      <w:proofErr w:type="spellEnd"/>
      <w:r w:rsidR="00A818E2" w:rsidRPr="009B1591">
        <w:rPr>
          <w:rFonts w:ascii="Times New Roman" w:hAnsi="Times New Roman"/>
          <w:sz w:val="28"/>
          <w:szCs w:val="28"/>
        </w:rPr>
        <w:t xml:space="preserve"> о проблемах при доставке вылова тихоокеанских лососей на российскую территорию. </w:t>
      </w:r>
    </w:p>
    <w:p w14:paraId="353452C6" w14:textId="1C304EC1" w:rsidR="00A818E2" w:rsidRPr="009B1591" w:rsidRDefault="009B1591" w:rsidP="00D1166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262626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«</w:t>
      </w:r>
      <w:r w:rsidR="00A818E2" w:rsidRPr="009B1591">
        <w:rPr>
          <w:rFonts w:ascii="Times New Roman" w:hAnsi="Times New Roman"/>
          <w:sz w:val="28"/>
          <w:szCs w:val="28"/>
        </w:rPr>
        <w:t>Вылов тихоокеанских лососей за четыре месяца (с 1 июня по 30 сентября) 2009</w:t>
      </w:r>
      <w:r>
        <w:rPr>
          <w:rFonts w:ascii="Times New Roman" w:hAnsi="Times New Roman"/>
          <w:sz w:val="28"/>
          <w:szCs w:val="28"/>
        </w:rPr>
        <w:t xml:space="preserve"> года составил 521 тысяч тонн. </w:t>
      </w:r>
      <w:r w:rsidR="00A818E2" w:rsidRPr="009B1591">
        <w:rPr>
          <w:rFonts w:ascii="Times New Roman" w:hAnsi="Times New Roman"/>
          <w:sz w:val="28"/>
          <w:szCs w:val="28"/>
        </w:rPr>
        <w:t xml:space="preserve">Порты и береговая инфраструктура оказались не в полной </w:t>
      </w:r>
      <w:r>
        <w:rPr>
          <w:rFonts w:ascii="Times New Roman" w:hAnsi="Times New Roman"/>
          <w:sz w:val="28"/>
          <w:szCs w:val="28"/>
        </w:rPr>
        <w:t>мере готовы к таким объёмам, не</w:t>
      </w:r>
      <w:r w:rsidR="00A818E2" w:rsidRPr="009B1591">
        <w:rPr>
          <w:rFonts w:ascii="Times New Roman" w:hAnsi="Times New Roman"/>
          <w:sz w:val="28"/>
          <w:szCs w:val="28"/>
        </w:rPr>
        <w:t xml:space="preserve">смотря на заблаговременное оповещение о высоких уловах и поставках. В связи с этим, </w:t>
      </w:r>
      <w:r w:rsidR="00DD4A23">
        <w:rPr>
          <w:rFonts w:ascii="Times New Roman" w:hAnsi="Times New Roman"/>
          <w:sz w:val="28"/>
          <w:szCs w:val="28"/>
        </w:rPr>
        <w:t xml:space="preserve">в начале августа текущего года </w:t>
      </w:r>
      <w:r w:rsidR="00A818E2" w:rsidRPr="009B1591">
        <w:rPr>
          <w:rFonts w:ascii="Times New Roman" w:hAnsi="Times New Roman"/>
          <w:sz w:val="28"/>
          <w:szCs w:val="28"/>
        </w:rPr>
        <w:t xml:space="preserve">сложилась критическая ситуация с вывозом продукции из тихоокеанских лососей в центральные районы Российской Федерации и переполнение холодильных мощностей в Дальневосточном регионе. Так, с начала активных поставок продукции из </w:t>
      </w:r>
      <w:r w:rsidR="00A818E2" w:rsidRPr="009B1591">
        <w:rPr>
          <w:rFonts w:ascii="Times New Roman" w:hAnsi="Times New Roman"/>
          <w:sz w:val="28"/>
          <w:szCs w:val="28"/>
        </w:rPr>
        <w:lastRenderedPageBreak/>
        <w:t xml:space="preserve">лососёвых видов, с середины июля 2009 года, массово стали поступать заявки на погрузку </w:t>
      </w:r>
      <w:proofErr w:type="spellStart"/>
      <w:r w:rsidR="00A818E2" w:rsidRPr="009B1591">
        <w:rPr>
          <w:rFonts w:ascii="Times New Roman" w:hAnsi="Times New Roman"/>
          <w:sz w:val="28"/>
          <w:szCs w:val="28"/>
        </w:rPr>
        <w:t>свежемороженной</w:t>
      </w:r>
      <w:proofErr w:type="spellEnd"/>
      <w:r w:rsidR="00A818E2" w:rsidRPr="009B1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8E2" w:rsidRPr="009B1591">
        <w:rPr>
          <w:rFonts w:ascii="Times New Roman" w:hAnsi="Times New Roman"/>
          <w:sz w:val="28"/>
          <w:szCs w:val="28"/>
        </w:rPr>
        <w:t>рыбопродукции</w:t>
      </w:r>
      <w:proofErr w:type="spellEnd"/>
      <w:r w:rsidR="00A818E2" w:rsidRPr="009B1591">
        <w:rPr>
          <w:rFonts w:ascii="Times New Roman" w:hAnsi="Times New Roman"/>
          <w:sz w:val="28"/>
          <w:szCs w:val="28"/>
        </w:rPr>
        <w:t>, которые не были в полной мере обеспечены рефрижераторным подвижным составом. Даже при наличии рефрижераторных секций на полигоне Владивостокского и Хабаровского отделений Дальневосточной железной дороги возникали проблемы со своевременным подводом необходимого подвижного состава к станции погрузки (Мыс Чуркин). Вагоны необходимые для погрузки продукции в портах проста</w:t>
      </w:r>
      <w:r>
        <w:rPr>
          <w:rFonts w:ascii="Times New Roman" w:hAnsi="Times New Roman"/>
          <w:sz w:val="28"/>
          <w:szCs w:val="28"/>
        </w:rPr>
        <w:t>ива</w:t>
      </w:r>
      <w:r w:rsidR="00A818E2" w:rsidRPr="009B1591">
        <w:rPr>
          <w:rFonts w:ascii="Times New Roman" w:hAnsi="Times New Roman"/>
          <w:sz w:val="28"/>
          <w:szCs w:val="28"/>
        </w:rPr>
        <w:t>ли в ожидании выгрузки, промывки, ремонта, а также в ожидании следования для выполнения данных операций. Оптовые покупатели и розничные сети не осуществляли закупок, выжидая падения цены. При этом розничные цены на продукцию из тихоокеанских лососей практически не снижались, а оптово-розни</w:t>
      </w:r>
      <w:r>
        <w:rPr>
          <w:rFonts w:ascii="Times New Roman" w:hAnsi="Times New Roman"/>
          <w:sz w:val="28"/>
          <w:szCs w:val="28"/>
        </w:rPr>
        <w:t>чные сети получали сверхприбыли.</w:t>
      </w:r>
      <w:r w:rsidR="00A818E2" w:rsidRPr="009B1591">
        <w:rPr>
          <w:rFonts w:ascii="Times New Roman" w:hAnsi="Times New Roman"/>
          <w:sz w:val="28"/>
          <w:szCs w:val="28"/>
        </w:rPr>
        <w:t xml:space="preserve"> Таким образом, </w:t>
      </w:r>
      <w:r w:rsidR="00A818E2" w:rsidRPr="009B1591">
        <w:rPr>
          <w:rFonts w:ascii="Times New Roman" w:hAnsi="Times New Roman"/>
          <w:b/>
          <w:sz w:val="28"/>
          <w:szCs w:val="28"/>
        </w:rPr>
        <w:t>в настоящее время не создано эффективного механизма, обеспечивающего скорейшее поступление уловов водных биоресурсов на береговые предприятия и в конечном счёте до потребителя</w:t>
      </w:r>
      <w:r w:rsidR="00A818E2" w:rsidRPr="009B1591">
        <w:rPr>
          <w:rFonts w:ascii="Times New Roman" w:hAnsi="Times New Roman"/>
          <w:sz w:val="28"/>
          <w:szCs w:val="28"/>
        </w:rPr>
        <w:t xml:space="preserve">. Это не позволяет при соблюдении требований к качеству продукции гарантировать снижение цен на рыбную продукцию даже при столь высоких уловах. Если сейчас при вылове в 520 тысяч тонн лососей возникают столь серьёзные проблемы, то </w:t>
      </w:r>
      <w:r w:rsidR="00A818E2" w:rsidRPr="009B1591">
        <w:rPr>
          <w:rFonts w:ascii="Times New Roman" w:hAnsi="Times New Roman"/>
          <w:b/>
          <w:sz w:val="28"/>
          <w:szCs w:val="28"/>
        </w:rPr>
        <w:t>при направлении всех уловов и продукции из водных биоресурсов на российскую территорию, береговая инфраструктура в её современном виде не сможет эффективно принят такие объёмы</w:t>
      </w:r>
      <w:r w:rsidR="00A818E2" w:rsidRPr="009B1591">
        <w:rPr>
          <w:rFonts w:ascii="Times New Roman" w:hAnsi="Times New Roman"/>
          <w:sz w:val="28"/>
          <w:szCs w:val="28"/>
        </w:rPr>
        <w:t xml:space="preserve">. Для исправления сложившейся ситуации необходимо строительство сети холодильников на Дальнем Востоке, в том числе в рамках </w:t>
      </w:r>
      <w:proofErr w:type="spellStart"/>
      <w:r w:rsidR="00A818E2" w:rsidRPr="009B1591">
        <w:rPr>
          <w:rFonts w:ascii="Times New Roman" w:hAnsi="Times New Roman"/>
          <w:sz w:val="28"/>
          <w:szCs w:val="28"/>
        </w:rPr>
        <w:t>частно</w:t>
      </w:r>
      <w:proofErr w:type="spellEnd"/>
      <w:r w:rsidR="00A818E2" w:rsidRPr="009B1591">
        <w:rPr>
          <w:rFonts w:ascii="Times New Roman" w:hAnsi="Times New Roman"/>
          <w:sz w:val="28"/>
          <w:szCs w:val="28"/>
        </w:rPr>
        <w:t>-государственного партнёрства и с использованием других механизмов государственного стимулирования, а также развитие иных путей транспортировки рыбной продукции (морским транспортом) в европейскую часть Российской Федерации».</w:t>
      </w:r>
    </w:p>
    <w:p w14:paraId="5AE1CFE6" w14:textId="2BB22D0D" w:rsidR="009B1591" w:rsidRDefault="00A818E2" w:rsidP="00D1166B">
      <w:pPr>
        <w:tabs>
          <w:tab w:val="left" w:pos="27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1591">
        <w:rPr>
          <w:rFonts w:ascii="Times New Roman" w:hAnsi="Times New Roman"/>
          <w:sz w:val="28"/>
          <w:szCs w:val="28"/>
        </w:rPr>
        <w:t>На совещании у Первого заместителя Председателя Правительства Российской Федерации В.</w:t>
      </w:r>
      <w:r w:rsidR="00C17983">
        <w:rPr>
          <w:rFonts w:ascii="Times New Roman" w:hAnsi="Times New Roman"/>
          <w:sz w:val="28"/>
          <w:szCs w:val="28"/>
        </w:rPr>
        <w:t xml:space="preserve"> </w:t>
      </w:r>
      <w:r w:rsidRPr="009B1591">
        <w:rPr>
          <w:rFonts w:ascii="Times New Roman" w:hAnsi="Times New Roman"/>
          <w:sz w:val="28"/>
          <w:szCs w:val="28"/>
        </w:rPr>
        <w:t>А.</w:t>
      </w:r>
      <w:r w:rsidR="00C17983">
        <w:rPr>
          <w:rFonts w:ascii="Times New Roman" w:hAnsi="Times New Roman"/>
          <w:sz w:val="28"/>
          <w:szCs w:val="28"/>
        </w:rPr>
        <w:t xml:space="preserve"> </w:t>
      </w:r>
      <w:r w:rsidRPr="009B1591">
        <w:rPr>
          <w:rFonts w:ascii="Times New Roman" w:hAnsi="Times New Roman"/>
          <w:sz w:val="28"/>
          <w:szCs w:val="28"/>
        </w:rPr>
        <w:t xml:space="preserve">Зубкова 25 марта 2011 года был представлено исследование ценообразования на рыбу, подготовленное ФАС и содержащее данные за 18 месяцев. Согласно исследованию наценка посредников в конечной стоимости минтая составляет 45%. В материалах к совещанию также содержались экспертные оценки участников рынка. Согласно этим оценкам среднегодовые отпускные цены на минтай составляли в 2010 году 38 рублей за килограмм, доставка продукции до Москвы (погрузочно-разгрузочные работы, транспортный тариф и оформление ветеринарных документов) составляла 10 рублей за килограмм, переработка продукции на предприятии (погрузка, перевозка на завод, перевозка на холодильник, выгрузка на холодильник, хранение сырья и готовой продукции, </w:t>
      </w:r>
      <w:proofErr w:type="spellStart"/>
      <w:r w:rsidRPr="009B1591">
        <w:rPr>
          <w:rFonts w:ascii="Times New Roman" w:hAnsi="Times New Roman"/>
          <w:sz w:val="28"/>
          <w:szCs w:val="28"/>
        </w:rPr>
        <w:t>разморозка</w:t>
      </w:r>
      <w:proofErr w:type="spellEnd"/>
      <w:r w:rsidRPr="009B1591">
        <w:rPr>
          <w:rFonts w:ascii="Times New Roman" w:hAnsi="Times New Roman"/>
          <w:sz w:val="28"/>
          <w:szCs w:val="28"/>
        </w:rPr>
        <w:t xml:space="preserve">, сортировка, глазуровка, фасовка, упаковка в полиэтиленовые пакеты, картонную тару и наклеивание этикеток) составляла 20 рублей на килограмм, что приводило к формированию входной цены в розничную сеть в размере 88,6 рублей за килограмм и с </w:t>
      </w:r>
      <w:r w:rsidRPr="009B1591">
        <w:rPr>
          <w:rFonts w:ascii="Times New Roman" w:hAnsi="Times New Roman"/>
          <w:sz w:val="28"/>
          <w:szCs w:val="28"/>
        </w:rPr>
        <w:lastRenderedPageBreak/>
        <w:t xml:space="preserve">учётом наценки торговой сети в 19 рублей стоимость 1 килограмма минтая безголового фасованного замороженного в сети составляла 107,6 рублей, в которой отпускная цена добытчиков минтая составляла 38 рублей. </w:t>
      </w:r>
      <w:r w:rsidR="00DD4A23">
        <w:rPr>
          <w:rFonts w:ascii="Times New Roman" w:hAnsi="Times New Roman"/>
          <w:sz w:val="28"/>
          <w:szCs w:val="28"/>
        </w:rPr>
        <w:t>Таким образом, рыночная власть добытчиков рыбы (а соответственно, их возможности управления потоками продукции) сильно ограничена.</w:t>
      </w:r>
    </w:p>
    <w:p w14:paraId="2A3B85EC" w14:textId="5A858610" w:rsidR="009B1591" w:rsidRDefault="00DD4A23" w:rsidP="00D1166B">
      <w:pPr>
        <w:tabs>
          <w:tab w:val="left" w:pos="27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оценке </w:t>
      </w:r>
      <w:proofErr w:type="spellStart"/>
      <w:r>
        <w:rPr>
          <w:rFonts w:ascii="Times New Roman" w:hAnsi="Times New Roman"/>
          <w:sz w:val="28"/>
          <w:szCs w:val="28"/>
        </w:rPr>
        <w:t>Минпромторга</w:t>
      </w:r>
      <w:proofErr w:type="spellEnd"/>
      <w:r>
        <w:rPr>
          <w:rFonts w:ascii="Times New Roman" w:hAnsi="Times New Roman"/>
          <w:sz w:val="28"/>
          <w:szCs w:val="28"/>
        </w:rPr>
        <w:t>, в</w:t>
      </w:r>
      <w:r w:rsidR="00A818E2" w:rsidRPr="009B1591">
        <w:rPr>
          <w:rFonts w:ascii="Times New Roman" w:hAnsi="Times New Roman"/>
          <w:sz w:val="28"/>
          <w:szCs w:val="28"/>
        </w:rPr>
        <w:t xml:space="preserve"> настоящее время рынок рыбной продукции характеризуется недостаточной организованностью, отсутствием увязки производственных и логистических процессов, большим количеством посредников, несовершенством экономических механизмов, стимулирующих поставки рыбной продукции на внутренний рынок, существующими административными барьерами, что негативно влияет на конечную стоимость </w:t>
      </w:r>
      <w:proofErr w:type="spellStart"/>
      <w:r w:rsidR="00A818E2" w:rsidRPr="009B1591">
        <w:rPr>
          <w:rFonts w:ascii="Times New Roman" w:hAnsi="Times New Roman"/>
          <w:sz w:val="28"/>
          <w:szCs w:val="28"/>
        </w:rPr>
        <w:t>рыбопродукции</w:t>
      </w:r>
      <w:proofErr w:type="spellEnd"/>
      <w:r w:rsidR="00A818E2" w:rsidRPr="009B1591">
        <w:rPr>
          <w:rFonts w:ascii="Times New Roman" w:hAnsi="Times New Roman"/>
          <w:sz w:val="28"/>
          <w:szCs w:val="28"/>
        </w:rPr>
        <w:t xml:space="preserve"> и отрицательно сказывается на конкурентоспособности российских </w:t>
      </w:r>
      <w:proofErr w:type="spellStart"/>
      <w:r w:rsidR="00A818E2" w:rsidRPr="009B1591">
        <w:rPr>
          <w:rFonts w:ascii="Times New Roman" w:hAnsi="Times New Roman"/>
          <w:sz w:val="28"/>
          <w:szCs w:val="28"/>
        </w:rPr>
        <w:t>рыбохозяйс</w:t>
      </w:r>
      <w:r w:rsidR="009B1591">
        <w:rPr>
          <w:rFonts w:ascii="Times New Roman" w:hAnsi="Times New Roman"/>
          <w:sz w:val="28"/>
          <w:szCs w:val="28"/>
        </w:rPr>
        <w:t>твенных</w:t>
      </w:r>
      <w:proofErr w:type="spellEnd"/>
      <w:r w:rsidR="009B1591">
        <w:rPr>
          <w:rFonts w:ascii="Times New Roman" w:hAnsi="Times New Roman"/>
          <w:sz w:val="28"/>
          <w:szCs w:val="28"/>
        </w:rPr>
        <w:t xml:space="preserve"> предприятий. О</w:t>
      </w:r>
      <w:r w:rsidR="00A818E2" w:rsidRPr="009B1591">
        <w:rPr>
          <w:rFonts w:ascii="Times New Roman" w:hAnsi="Times New Roman"/>
          <w:sz w:val="28"/>
          <w:szCs w:val="28"/>
        </w:rPr>
        <w:t xml:space="preserve">дной из основных причин недостаточного развития конкурентной среды на рынке оборота рыбной продукции является недостаточный уровень развития современной распределительной инфраструктуры, необходимо реализовать комплекс мер, направленных на строительство и обеспечение деятельности товарораспределительных центров, развития кооперации и интеграции между рыбодобывающими, </w:t>
      </w:r>
      <w:proofErr w:type="spellStart"/>
      <w:r w:rsidR="00A818E2" w:rsidRPr="009B1591">
        <w:rPr>
          <w:rFonts w:ascii="Times New Roman" w:hAnsi="Times New Roman"/>
          <w:sz w:val="28"/>
          <w:szCs w:val="28"/>
        </w:rPr>
        <w:t>рыбоперерабатываюшими</w:t>
      </w:r>
      <w:proofErr w:type="spellEnd"/>
      <w:r w:rsidR="00A818E2" w:rsidRPr="009B1591">
        <w:rPr>
          <w:rFonts w:ascii="Times New Roman" w:hAnsi="Times New Roman"/>
          <w:sz w:val="28"/>
          <w:szCs w:val="28"/>
        </w:rPr>
        <w:t xml:space="preserve"> предприятиями и организациями торговли, формирования эффективного оптового звена».</w:t>
      </w:r>
    </w:p>
    <w:p w14:paraId="25F76909" w14:textId="0CDCE7BF" w:rsidR="00D1166B" w:rsidRDefault="00DD4A23" w:rsidP="00D1166B">
      <w:pPr>
        <w:tabs>
          <w:tab w:val="left" w:pos="27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учётом поручения Президента Российской Федерации от 21 марта 2013 года о комплексе мер по развитию производства </w:t>
      </w:r>
      <w:proofErr w:type="spellStart"/>
      <w:r>
        <w:rPr>
          <w:rFonts w:ascii="Times New Roman" w:hAnsi="Times New Roman"/>
          <w:sz w:val="28"/>
          <w:szCs w:val="28"/>
        </w:rPr>
        <w:t>рыбопродукции</w:t>
      </w:r>
      <w:proofErr w:type="spellEnd"/>
      <w:r>
        <w:rPr>
          <w:rFonts w:ascii="Times New Roman" w:hAnsi="Times New Roman"/>
          <w:sz w:val="28"/>
          <w:szCs w:val="28"/>
        </w:rPr>
        <w:t xml:space="preserve"> с высокой степенью переработки считаем необходимым предст</w:t>
      </w:r>
      <w:r w:rsidR="0042151D">
        <w:rPr>
          <w:rFonts w:ascii="Times New Roman" w:hAnsi="Times New Roman"/>
          <w:sz w:val="28"/>
          <w:szCs w:val="28"/>
        </w:rPr>
        <w:t xml:space="preserve">авить возможные решения по трём </w:t>
      </w:r>
      <w:r>
        <w:rPr>
          <w:rFonts w:ascii="Times New Roman" w:hAnsi="Times New Roman"/>
          <w:sz w:val="28"/>
          <w:szCs w:val="28"/>
        </w:rPr>
        <w:t xml:space="preserve">видам водных биоресурсов – </w:t>
      </w:r>
      <w:r w:rsidR="0042151D">
        <w:rPr>
          <w:rFonts w:ascii="Times New Roman" w:hAnsi="Times New Roman"/>
          <w:sz w:val="28"/>
          <w:szCs w:val="28"/>
        </w:rPr>
        <w:t xml:space="preserve">лососю, </w:t>
      </w:r>
      <w:r>
        <w:rPr>
          <w:rFonts w:ascii="Times New Roman" w:hAnsi="Times New Roman"/>
          <w:sz w:val="28"/>
          <w:szCs w:val="28"/>
        </w:rPr>
        <w:t xml:space="preserve">минтаю и сельди. Выбор обусловлен следующими причинами: </w:t>
      </w:r>
    </w:p>
    <w:p w14:paraId="56A97D57" w14:textId="7B174813" w:rsidR="00D1166B" w:rsidRDefault="0042151D" w:rsidP="00D1166B">
      <w:pPr>
        <w:tabs>
          <w:tab w:val="left" w:pos="27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лосось, </w:t>
      </w:r>
      <w:r w:rsidR="00DD4A23">
        <w:rPr>
          <w:rFonts w:ascii="Times New Roman" w:hAnsi="Times New Roman"/>
          <w:sz w:val="28"/>
          <w:szCs w:val="28"/>
        </w:rPr>
        <w:t xml:space="preserve">сельдь и минтай занимают свыше 55% в совокупном российском вылове водных биоресурсов; </w:t>
      </w:r>
    </w:p>
    <w:p w14:paraId="397CAFA2" w14:textId="3E7B1C97" w:rsidR="00D1166B" w:rsidRDefault="00DD4A23" w:rsidP="00D1166B">
      <w:pPr>
        <w:tabs>
          <w:tab w:val="left" w:pos="27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состояние популяции минтая и тихоокеанской сельди стабильно, что позволяет прогнозировать вылов и поставки уловов этих видов водных биоресурсов, а также производство продукции из них; </w:t>
      </w:r>
    </w:p>
    <w:p w14:paraId="38156629" w14:textId="11B33AB8" w:rsidR="00D1166B" w:rsidRDefault="00DD4A23" w:rsidP="00D1166B">
      <w:pPr>
        <w:tabs>
          <w:tab w:val="left" w:pos="27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сельдь </w:t>
      </w:r>
      <w:r w:rsidR="0042151D">
        <w:rPr>
          <w:rFonts w:ascii="Times New Roman" w:hAnsi="Times New Roman"/>
          <w:sz w:val="28"/>
          <w:szCs w:val="28"/>
        </w:rPr>
        <w:t xml:space="preserve">и лосось </w:t>
      </w:r>
      <w:r>
        <w:rPr>
          <w:rFonts w:ascii="Times New Roman" w:hAnsi="Times New Roman"/>
          <w:sz w:val="28"/>
          <w:szCs w:val="28"/>
        </w:rPr>
        <w:t xml:space="preserve">является самым популярным видом водных биоресурсов на российском рыбном рынке; </w:t>
      </w:r>
    </w:p>
    <w:p w14:paraId="4F74F3CC" w14:textId="027741F5" w:rsidR="00DD4A23" w:rsidRDefault="00DD4A23" w:rsidP="00D1166B">
      <w:pPr>
        <w:tabs>
          <w:tab w:val="left" w:pos="27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минтай обладает неплохи</w:t>
      </w:r>
      <w:r w:rsidR="0042151D">
        <w:rPr>
          <w:rFonts w:ascii="Times New Roman" w:hAnsi="Times New Roman"/>
          <w:sz w:val="28"/>
          <w:szCs w:val="28"/>
        </w:rPr>
        <w:t>м рыночным потенциалом в России, а рынок филе имеет «взрывной» рыночный потенциал (что доказывают показатели продаж 2007 – 2008 годов);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5A3F067" w14:textId="342A0203" w:rsidR="0042151D" w:rsidRDefault="0042151D" w:rsidP="00D1166B">
      <w:pPr>
        <w:tabs>
          <w:tab w:val="left" w:pos="27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рынок охлаждённого лосося является самым быстрорастущим сегментом российского рынка </w:t>
      </w:r>
      <w:proofErr w:type="spellStart"/>
      <w:r>
        <w:rPr>
          <w:rFonts w:ascii="Times New Roman" w:hAnsi="Times New Roman"/>
          <w:sz w:val="28"/>
          <w:szCs w:val="28"/>
        </w:rPr>
        <w:t>рыбопродукции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4F31BFE" w14:textId="77777777" w:rsidR="00DB09CC" w:rsidRDefault="00DB09CC" w:rsidP="0057744A">
      <w:pPr>
        <w:tabs>
          <w:tab w:val="left" w:pos="270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55B4ED" w14:textId="53F216DA" w:rsidR="008B3495" w:rsidRDefault="009A597E" w:rsidP="008B3495">
      <w:pPr>
        <w:tabs>
          <w:tab w:val="left" w:pos="270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val="en-US" w:eastAsia="ru-RU"/>
        </w:rPr>
        <w:lastRenderedPageBreak/>
        <w:drawing>
          <wp:inline distT="0" distB="0" distL="0" distR="0" wp14:anchorId="09639C37" wp14:editId="1F5740F3">
            <wp:extent cx="5849620" cy="3888675"/>
            <wp:effectExtent l="0" t="0" r="17780" b="1714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89A88E1" w14:textId="77777777" w:rsidR="00A55AAF" w:rsidRDefault="00A55AAF" w:rsidP="00DD4A23">
      <w:pPr>
        <w:tabs>
          <w:tab w:val="left" w:pos="270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BEB65A3" w14:textId="0E87C1F4" w:rsidR="0077602A" w:rsidRPr="00A703C0" w:rsidRDefault="00D424AB" w:rsidP="00DD4A23">
      <w:pPr>
        <w:tabs>
          <w:tab w:val="left" w:pos="270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DD4A23">
        <w:rPr>
          <w:rFonts w:ascii="Times New Roman" w:hAnsi="Times New Roman"/>
          <w:b/>
          <w:sz w:val="28"/>
          <w:szCs w:val="28"/>
        </w:rPr>
        <w:t xml:space="preserve">2. </w:t>
      </w:r>
      <w:r w:rsidR="0077602A" w:rsidRPr="00A703C0">
        <w:rPr>
          <w:rFonts w:ascii="Times New Roman" w:hAnsi="Times New Roman"/>
          <w:b/>
          <w:sz w:val="28"/>
          <w:szCs w:val="28"/>
        </w:rPr>
        <w:t>П</w:t>
      </w:r>
      <w:r w:rsidR="00D1166B">
        <w:rPr>
          <w:rFonts w:ascii="Times New Roman" w:hAnsi="Times New Roman"/>
          <w:b/>
          <w:sz w:val="28"/>
          <w:szCs w:val="28"/>
        </w:rPr>
        <w:t xml:space="preserve">РОИЗВОДСТВО ПРОДУКЦИИ ИЗ МИНТАЯ </w:t>
      </w:r>
    </w:p>
    <w:p w14:paraId="48930B47" w14:textId="4444A3E7" w:rsidR="00550DEB" w:rsidRPr="009B1591" w:rsidRDefault="00DC2DD2" w:rsidP="00DD4A23">
      <w:pPr>
        <w:tabs>
          <w:tab w:val="left" w:pos="27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вылов минтая </w:t>
      </w:r>
      <w:r w:rsidR="00CB4454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(3 млн. тонн) </w:t>
      </w:r>
      <w:r w:rsidR="00C45B0F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обеспечивают </w:t>
      </w:r>
      <w:r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Россия </w:t>
      </w:r>
      <w:r w:rsidR="008E4A88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(55</w:t>
      </w:r>
      <w:r w:rsidR="00CB4454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%) </w:t>
      </w:r>
      <w:r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США</w:t>
      </w:r>
      <w:r w:rsidR="00CB4454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8E4A88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43%)</w:t>
      </w:r>
      <w:r w:rsidR="00C45B0F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973679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Российский внутренний</w:t>
      </w:r>
      <w:r w:rsidR="00550DEB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рын</w:t>
      </w:r>
      <w:r w:rsidR="00973679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</w:t>
      </w:r>
      <w:r w:rsidR="00550DEB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73679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потребляет 20% добываемых</w:t>
      </w:r>
      <w:r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России </w:t>
      </w:r>
      <w:r w:rsidR="00973679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1,6 млн. тонн</w:t>
      </w:r>
      <w:r w:rsidR="00732361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минтая</w:t>
      </w:r>
      <w:r w:rsidR="00550DEB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советский период 2/3 д</w:t>
      </w:r>
      <w:r w:rsidR="00C45B0F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обываемого минтая перерабатывали</w:t>
      </w:r>
      <w:r w:rsidR="00550DEB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сь в рыбную муку, </w:t>
      </w:r>
      <w:r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 w:rsidR="00C45B0F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большая часть реализуемой</w:t>
      </w:r>
      <w:r w:rsidR="00550DEB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пищевых целях </w:t>
      </w:r>
      <w:r w:rsidR="00C45B0F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продукции из </w:t>
      </w:r>
      <w:r w:rsidR="00550DEB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минтая</w:t>
      </w:r>
      <w:r w:rsidR="00C45B0F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распределялась среди госучреждений</w:t>
      </w:r>
      <w:r w:rsidR="00550DEB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973679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настоящее время </w:t>
      </w:r>
      <w:r w:rsidR="00C45B0F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России </w:t>
      </w:r>
      <w:r w:rsidR="00973679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закупки </w:t>
      </w:r>
      <w:r w:rsidR="00C45B0F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филе </w:t>
      </w:r>
      <w:r w:rsidR="00973679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минтая для государственных </w:t>
      </w:r>
      <w:r w:rsidR="00C45B0F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учреждений </w:t>
      </w:r>
      <w:r w:rsidR="00973679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производятся (в отличие от США, где 30% </w:t>
      </w:r>
      <w:r w:rsidR="00DD4A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поставляемого на внутренний рынок </w:t>
      </w:r>
      <w:r w:rsidR="00973679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филе мин</w:t>
      </w:r>
      <w:r w:rsidR="00C45B0F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тая продаё</w:t>
      </w:r>
      <w:r w:rsidR="00973679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тся в школах по 7 долларов за килограмм). </w:t>
      </w:r>
    </w:p>
    <w:p w14:paraId="5B08744D" w14:textId="556F6F90" w:rsidR="009B1591" w:rsidRDefault="00DB70BC" w:rsidP="00D116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Россия и США являются двумя основными добытчиками минтая в мире, однако экономическая модель у американцев более прибыльная. Это достигается за счёт </w:t>
      </w:r>
      <w:r w:rsid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специальной программы закупок продукции из минтая для государственных нужд, </w:t>
      </w:r>
      <w:r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высокой координации сбытовой деятельн</w:t>
      </w:r>
      <w:r w:rsid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ости американских предприятий и </w:t>
      </w:r>
      <w:r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обладания специального экологического сертификата. </w:t>
      </w:r>
      <w:r w:rsidR="009B1591" w:rsidRPr="00E34B6E">
        <w:rPr>
          <w:rFonts w:ascii="Times New Roman" w:hAnsi="Times New Roman"/>
          <w:sz w:val="28"/>
          <w:szCs w:val="28"/>
        </w:rPr>
        <w:t>В</w:t>
      </w:r>
      <w:r w:rsidR="009B1591">
        <w:rPr>
          <w:rFonts w:ascii="Times New Roman" w:hAnsi="Times New Roman"/>
          <w:sz w:val="28"/>
          <w:szCs w:val="28"/>
        </w:rPr>
        <w:t xml:space="preserve"> рамках общенациональной</w:t>
      </w:r>
      <w:r w:rsidR="009B1591" w:rsidRPr="00E34B6E">
        <w:rPr>
          <w:rFonts w:ascii="Times New Roman" w:hAnsi="Times New Roman"/>
          <w:sz w:val="28"/>
          <w:szCs w:val="28"/>
        </w:rPr>
        <w:t xml:space="preserve"> программ</w:t>
      </w:r>
      <w:r w:rsidR="009B1591">
        <w:rPr>
          <w:rFonts w:ascii="Times New Roman" w:hAnsi="Times New Roman"/>
          <w:sz w:val="28"/>
          <w:szCs w:val="28"/>
        </w:rPr>
        <w:t>ы</w:t>
      </w:r>
      <w:r w:rsidR="009B1591" w:rsidRPr="00E34B6E">
        <w:rPr>
          <w:rFonts w:ascii="Times New Roman" w:hAnsi="Times New Roman"/>
          <w:sz w:val="28"/>
          <w:szCs w:val="28"/>
        </w:rPr>
        <w:t xml:space="preserve"> «Детское питание» (</w:t>
      </w:r>
      <w:r w:rsidR="009B1591" w:rsidRPr="00E34B6E">
        <w:rPr>
          <w:rFonts w:ascii="Times New Roman" w:hAnsi="Times New Roman"/>
          <w:sz w:val="28"/>
          <w:szCs w:val="28"/>
          <w:lang w:val="en-US"/>
        </w:rPr>
        <w:t>CNP</w:t>
      </w:r>
      <w:r w:rsidR="009B1591" w:rsidRPr="00E34B6E">
        <w:rPr>
          <w:rFonts w:ascii="Times New Roman" w:hAnsi="Times New Roman"/>
          <w:sz w:val="28"/>
          <w:szCs w:val="28"/>
        </w:rPr>
        <w:t xml:space="preserve">), включающей программу школьных обедов </w:t>
      </w:r>
      <w:r w:rsidR="009B1591" w:rsidRPr="00E34B6E">
        <w:rPr>
          <w:rFonts w:ascii="Times New Roman" w:hAnsi="Times New Roman"/>
          <w:sz w:val="28"/>
          <w:szCs w:val="28"/>
          <w:lang w:val="en-US"/>
        </w:rPr>
        <w:t>(NSLP</w:t>
      </w:r>
      <w:r w:rsidR="009B1591" w:rsidRPr="00E34B6E">
        <w:rPr>
          <w:rFonts w:ascii="Times New Roman" w:hAnsi="Times New Roman"/>
          <w:sz w:val="28"/>
          <w:szCs w:val="28"/>
        </w:rPr>
        <w:t xml:space="preserve">) и </w:t>
      </w:r>
      <w:r w:rsidR="009B1591">
        <w:rPr>
          <w:rFonts w:ascii="Times New Roman" w:hAnsi="Times New Roman"/>
          <w:sz w:val="28"/>
          <w:szCs w:val="28"/>
        </w:rPr>
        <w:t xml:space="preserve">школьных </w:t>
      </w:r>
      <w:r w:rsidR="009B1591" w:rsidRPr="00E34B6E">
        <w:rPr>
          <w:rFonts w:ascii="Times New Roman" w:hAnsi="Times New Roman"/>
          <w:sz w:val="28"/>
          <w:szCs w:val="28"/>
        </w:rPr>
        <w:t xml:space="preserve">завтраков </w:t>
      </w:r>
      <w:r w:rsidR="009B1591" w:rsidRPr="00E34B6E">
        <w:rPr>
          <w:rFonts w:ascii="Times New Roman" w:hAnsi="Times New Roman"/>
          <w:sz w:val="28"/>
          <w:szCs w:val="28"/>
          <w:lang w:val="en-US"/>
        </w:rPr>
        <w:t>(NSBS</w:t>
      </w:r>
      <w:r w:rsidR="009B1591" w:rsidRPr="00E34B6E">
        <w:rPr>
          <w:rFonts w:ascii="Times New Roman" w:hAnsi="Times New Roman"/>
          <w:sz w:val="28"/>
          <w:szCs w:val="28"/>
        </w:rPr>
        <w:t xml:space="preserve">), а также в рамках программы «Дополнительное питание детей, беременных и кормящих женщин </w:t>
      </w:r>
      <w:r w:rsidR="009B1591" w:rsidRPr="00E34B6E">
        <w:rPr>
          <w:rFonts w:ascii="Times New Roman" w:hAnsi="Times New Roman"/>
          <w:sz w:val="28"/>
          <w:szCs w:val="28"/>
          <w:lang w:val="en-US"/>
        </w:rPr>
        <w:t>(WIC</w:t>
      </w:r>
      <w:r w:rsidR="009B1591" w:rsidRPr="00E34B6E">
        <w:rPr>
          <w:rFonts w:ascii="Times New Roman" w:hAnsi="Times New Roman"/>
          <w:sz w:val="28"/>
          <w:szCs w:val="28"/>
        </w:rPr>
        <w:t xml:space="preserve">), расходуется ежегодно свыше 40 млрд. долларов. Реализация этой программы </w:t>
      </w:r>
      <w:r w:rsidR="009B1591">
        <w:rPr>
          <w:rFonts w:ascii="Times New Roman" w:hAnsi="Times New Roman"/>
          <w:sz w:val="28"/>
          <w:szCs w:val="28"/>
        </w:rPr>
        <w:t xml:space="preserve">позволила обеспечить для американских рыбаков гарантированный рынок продукции </w:t>
      </w:r>
      <w:r w:rsidR="009B1591">
        <w:rPr>
          <w:rFonts w:ascii="Times New Roman" w:hAnsi="Times New Roman"/>
          <w:sz w:val="28"/>
          <w:szCs w:val="28"/>
        </w:rPr>
        <w:lastRenderedPageBreak/>
        <w:t>при условии соблюдения ими строжайших стандартов качества и безопасности продукции. В</w:t>
      </w:r>
      <w:r w:rsidR="009B1591" w:rsidRPr="00E34B6E">
        <w:rPr>
          <w:rFonts w:ascii="Times New Roman" w:hAnsi="Times New Roman"/>
          <w:sz w:val="28"/>
          <w:szCs w:val="28"/>
        </w:rPr>
        <w:t xml:space="preserve"> американских школах ежегодно продаётся свыше 15 тысяч тонн </w:t>
      </w:r>
      <w:r w:rsidR="00DD4A23">
        <w:rPr>
          <w:rFonts w:ascii="Times New Roman" w:hAnsi="Times New Roman"/>
          <w:sz w:val="28"/>
          <w:szCs w:val="28"/>
        </w:rPr>
        <w:t>филе минтая наивысшего качества</w:t>
      </w:r>
      <w:r w:rsidR="009B1591" w:rsidRPr="00E34B6E">
        <w:rPr>
          <w:rFonts w:ascii="Times New Roman" w:hAnsi="Times New Roman"/>
          <w:sz w:val="28"/>
          <w:szCs w:val="28"/>
        </w:rPr>
        <w:t xml:space="preserve">. </w:t>
      </w:r>
      <w:r w:rsidR="009B1591">
        <w:rPr>
          <w:rFonts w:ascii="Times New Roman" w:hAnsi="Times New Roman"/>
          <w:sz w:val="28"/>
          <w:szCs w:val="28"/>
        </w:rPr>
        <w:t>Для сравнения, российские предприятия производят около 30 тысяч тонн филе минтая, а за счёт стимулирования государственных и муниципальных закупок производство продукции с высокой степенью переработки может значительно вырасти.</w:t>
      </w:r>
    </w:p>
    <w:p w14:paraId="5532127A" w14:textId="4E3F87FF" w:rsidR="00DB70BC" w:rsidRPr="009B1591" w:rsidRDefault="009B1591" w:rsidP="00D116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DB70BC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мкость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российского </w:t>
      </w:r>
      <w:r w:rsidR="00DB70BC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внутреннего рынка </w:t>
      </w:r>
      <w:r w:rsidR="00DD4A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позволяет</w:t>
      </w:r>
      <w:r w:rsidR="00DB70BC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реализовать внутри России весь добываемый минтай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(1,7 млн. тонн)</w:t>
      </w:r>
      <w:r w:rsidR="00DB70BC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советский период весь добываемый минтай уходил на внутренний рынок, но в пищевых целях использовалось менее 1/3 добычи (600 – 700 тысяч тонн в переводе на живой вес). 2/3 добываемого минтая перерабатывалось в рыбную муку, которая использовалась в звероводческих хозяйствах. Кроме того, большая часть реализуемого в пищевых целях минтая распределялась среди бюджетных учреждений за счёт государственного заказа. Необходимо отметить, что в советский период не было построено ни одного </w:t>
      </w:r>
      <w:proofErr w:type="spellStart"/>
      <w:r w:rsidR="00DB70BC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рыбоперерабатывающего</w:t>
      </w:r>
      <w:proofErr w:type="spellEnd"/>
      <w:r w:rsidR="00DB70BC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комбината по производству филе минтая, а большая часть крупнотоннажного рыбопромыслового флота не имела </w:t>
      </w:r>
      <w:proofErr w:type="spellStart"/>
      <w:r w:rsidR="00DB70BC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филетировочные</w:t>
      </w:r>
      <w:proofErr w:type="spellEnd"/>
      <w:r w:rsidR="00DB70BC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линии на борту. Распад СССР и разрушение хозяйственных связей привели к падению платёжеспособного спроса на минтай, однако </w:t>
      </w:r>
      <w:proofErr w:type="spellStart"/>
      <w:r w:rsidR="00DB70BC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общедопустимые</w:t>
      </w:r>
      <w:proofErr w:type="spellEnd"/>
      <w:r w:rsidR="00DB70BC"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уловы минтая сохранялись на высоком уровне. Естественной стратегией выживания для добывающих минтай предприятий стал внешний рынок. </w:t>
      </w:r>
    </w:p>
    <w:p w14:paraId="3C1F09C6" w14:textId="77777777" w:rsidR="009B1591" w:rsidRDefault="00DB70BC" w:rsidP="00D1166B">
      <w:pPr>
        <w:spacing w:after="10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90-е годы появилась рыночная ниша для продукции из минтая в связи с вводом в строй нескольких десятков современных рыбопромысловых судов зарубежной постройки. В начале 2000-х годов российские предприятия стали наращивать выпуск филе минтая на рыбопромысловых судах и быстро захватили рынок филе минтая морской заморозки в Европе: в 2001 году российские предприятий производили свыше 90 тысяч тонн филе минтая – в три раза больше, чем сейчас. Почувствовав угрозу со стороны российских предприятий, американские добытчики минтая придумали защитное оружие. Крупные розничные сети и международные экологические организации (</w:t>
      </w:r>
      <w:r w:rsidRPr="009B159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WWF</w:t>
      </w:r>
      <w:r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разработали т.н. экологический стандарт, который подразумевает устойчивое состояние популяции водных биоресурсов. Только при наличии экологического сертификата </w:t>
      </w:r>
      <w:proofErr w:type="spellStart"/>
      <w:r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рыбопродукция</w:t>
      </w:r>
      <w:proofErr w:type="spellEnd"/>
      <w:r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попадала в розничные сети. Таким образом американцам удалось «убить» конкуренцию на рынке филе и создать собственную монополию. </w:t>
      </w:r>
    </w:p>
    <w:p w14:paraId="1850BE7F" w14:textId="25C25FC3" w:rsidR="00D1166B" w:rsidRDefault="00DD4A23" w:rsidP="00D1166B">
      <w:pPr>
        <w:spacing w:after="10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Специфика промысла минтая заключается в том, что </w:t>
      </w:r>
      <w:r w:rsidR="009B1591">
        <w:rPr>
          <w:rFonts w:ascii="Times New Roman" w:hAnsi="Times New Roman"/>
          <w:color w:val="000000"/>
          <w:sz w:val="28"/>
          <w:szCs w:val="28"/>
        </w:rPr>
        <w:t>свыше полови</w:t>
      </w:r>
      <w:r w:rsidR="001B148A">
        <w:rPr>
          <w:rFonts w:ascii="Times New Roman" w:hAnsi="Times New Roman"/>
          <w:color w:val="000000"/>
          <w:sz w:val="28"/>
          <w:szCs w:val="28"/>
        </w:rPr>
        <w:t>ны годового улова приходится на</w:t>
      </w:r>
      <w:r w:rsidR="009B15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148A">
        <w:rPr>
          <w:rFonts w:ascii="Times New Roman" w:hAnsi="Times New Roman"/>
          <w:color w:val="000000"/>
          <w:sz w:val="28"/>
          <w:szCs w:val="28"/>
        </w:rPr>
        <w:t>первые сто дне</w:t>
      </w:r>
      <w:r w:rsidR="0057744A">
        <w:rPr>
          <w:rFonts w:ascii="Times New Roman" w:hAnsi="Times New Roman"/>
          <w:color w:val="000000"/>
          <w:sz w:val="28"/>
          <w:szCs w:val="28"/>
        </w:rPr>
        <w:t>й</w:t>
      </w:r>
      <w:r w:rsidR="001B148A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586CB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Это приводит к появлению на рынке громадного объёма продукции, который в силу существующих в России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спросовых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инфраструктурных ограничений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оказывается невостребованным даже при снижении цены. При анализе ценовых характеристик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минтаевой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путины за несколько лет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невостребованность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большей части улова минтая на внутреннем рынке вполне очевидна. Также очевидно снижение цен на внешнем рынке в указанный период: рыночная власть добытчиков минтая и отсутствие скоординированной внешнеэкономической стратегии приводят к разобщению российских предприятий на мировом рынке. Этим с успехом пользуются зарубежные покупатели, объединённые в мощные закупочные картели. </w:t>
      </w:r>
    </w:p>
    <w:p w14:paraId="2CE090BC" w14:textId="77777777" w:rsidR="00D1166B" w:rsidRDefault="00D1166B" w:rsidP="00D116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81E5A6" w14:textId="3EECCF0C" w:rsidR="00A55AAF" w:rsidRDefault="00143B7B" w:rsidP="006961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val="en-US" w:eastAsia="ru-RU"/>
        </w:rPr>
        <w:drawing>
          <wp:inline distT="0" distB="0" distL="0" distR="0" wp14:anchorId="7EB90C36" wp14:editId="5CFEAD87">
            <wp:extent cx="5972175" cy="39052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5DFBB91" w14:textId="64A9CFD8" w:rsidR="0077602A" w:rsidRPr="009B1591" w:rsidRDefault="0077602A" w:rsidP="00A55AAF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Существует реальная возможность увеличить долю продаж минтая на российском рынке до 30% от вылова и повысить эффективность продаж продукции из минтая на внешнем рынке, но для этого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необходимы два условия: 1) реализация программы закупок продукции из минтая для государственных и муниципальных нужд; 2) </w:t>
      </w:r>
      <w:r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согласованная стратегия внешнеэкономической деят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ельности предприятий в ключевых</w:t>
      </w:r>
      <w:r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сегментах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мирового </w:t>
      </w:r>
      <w:r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рынка. </w:t>
      </w:r>
    </w:p>
    <w:p w14:paraId="732B6FCE" w14:textId="1B484B66" w:rsidR="0077602A" w:rsidRPr="009B1591" w:rsidRDefault="0077602A" w:rsidP="00A55AAF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Рынок мороженной икры минтая (50 тысяч тонн) – 550 млн. долларов (США – 55%, Россия – 45%). Главным покупателем мороженной икры минтая является Япония (70%). Японские покупатели икры организованы в закупочный картель. Российские рыболовные компании не определяют единую ценовую политику на рынке икры минтая и уступают инициативу иностранным покупателям и американским конкурентам. </w:t>
      </w:r>
      <w:bookmarkStart w:id="0" w:name="_GoBack"/>
      <w:bookmarkEnd w:id="0"/>
      <w:r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ФАС признала </w:t>
      </w:r>
      <w:r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незаконным добровольное соглашение российских компаний об ограничении выхода икры минтая на уровне 4,5% от веса сырца несмотря на то, что инициатива рыбопромышленников позволила искоренить браконьерский промысел молоди и привела к росту популяции минтая (</w:t>
      </w:r>
      <w:proofErr w:type="spellStart"/>
      <w:r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общедопустимый</w:t>
      </w:r>
      <w:proofErr w:type="spellEnd"/>
      <w:r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улов минтая в Охотском море в 2005 году – 450 тысяч тонн, в 2012 году – 960 тысяч тонн). </w:t>
      </w:r>
    </w:p>
    <w:p w14:paraId="646D32A3" w14:textId="77777777" w:rsidR="0077602A" w:rsidRPr="009B1591" w:rsidRDefault="0077602A" w:rsidP="00A55AAF">
      <w:pPr>
        <w:spacing w:line="240" w:lineRule="auto"/>
        <w:ind w:right="278"/>
        <w:jc w:val="both"/>
        <w:rPr>
          <w:rFonts w:ascii="Times New Roman" w:hAnsi="Times New Roman"/>
          <w:sz w:val="28"/>
          <w:szCs w:val="28"/>
        </w:rPr>
      </w:pPr>
      <w:r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Рынок филе минтая морской заморозки (150 тысяч тонн) – 525 млн. долларов (США – 80%, Россия – 20%). В 90-е годы российские предприятия вышли на европейский рынок филе минтая морской заморозки (российские предприятия производили свыше 90 тысяч тонн филе минтая – в три раза больше, чем сейчас). Однако американские конкуренты придумали защитное оружие – экологический стандарт, только при наличии которого </w:t>
      </w:r>
      <w:proofErr w:type="spellStart"/>
      <w:r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рыбопродукцию</w:t>
      </w:r>
      <w:proofErr w:type="spellEnd"/>
      <w:r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пропускают  в розничные сети. Так российские предприятия потеряли рынок. С 2008 года Ассоциация добытчиков минтая реализует при содействии </w:t>
      </w:r>
      <w:proofErr w:type="spellStart"/>
      <w:r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Росрыболовства</w:t>
      </w:r>
      <w:proofErr w:type="spellEnd"/>
      <w:r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Пограничной службы ФСБ России проект экологической сертификации промысла минтая в Охотском и Беринговом морях. Несмотря на ожесточённое противодействие американцев проект будет завершён в 2013 году, что </w:t>
      </w:r>
      <w:r w:rsidRPr="009B1591">
        <w:rPr>
          <w:rFonts w:ascii="Times New Roman" w:hAnsi="Times New Roman"/>
          <w:sz w:val="28"/>
          <w:szCs w:val="28"/>
        </w:rPr>
        <w:t>позволит российским рыбодобывающим предприятиям отбить у американцев европейский рынок филе.</w:t>
      </w:r>
    </w:p>
    <w:p w14:paraId="5D68774E" w14:textId="77777777" w:rsidR="00D424AB" w:rsidRDefault="0077602A" w:rsidP="00D424AB">
      <w:pPr>
        <w:spacing w:after="10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Координация предпринимательской деятельности в наиболее прибыльных сегментах мирового рыбного рынка позволит увеличить выручку от реализации всех видов продукции из минтая с нынешних 1,3 млрд. долларов до 1,7 млрд. долларов (на 30%), сильно «подвинет» американских </w:t>
      </w:r>
      <w:r w:rsidRPr="00E50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конкурентов и заставит переработчиков в КНР увеличить закупочные цены на сырье. </w:t>
      </w:r>
    </w:p>
    <w:p w14:paraId="37866C3A" w14:textId="0BB5DAD5" w:rsidR="00E5048F" w:rsidRPr="00D424AB" w:rsidRDefault="00E5048F" w:rsidP="00D424AB">
      <w:pPr>
        <w:spacing w:after="10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На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российском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рынке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ниша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для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филе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минтая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морской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заморозки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не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очень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велика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.</w:t>
      </w:r>
      <w:proofErr w:type="gram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Потенциальная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ёмкость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рынка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для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филе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минтая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морской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заморозки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в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России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–</w:t>
      </w:r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18 – 20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тысяч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тонн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(в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перспективе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6 – 7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лет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).</w:t>
      </w:r>
      <w:proofErr w:type="gram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Эти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расчёты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основаны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на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сравнении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объёма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продаж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филе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минтая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морской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заморозки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на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других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рынках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: в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странах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ЕС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продажи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филе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минтая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морской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заморозки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составляют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85 – 95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тысяч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тонн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при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численности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населения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в 450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млн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человек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, в США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продажи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филе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минтая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морской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заморозки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не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превышают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40 – 45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тысяч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тонн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при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численности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населения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300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млн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.</w:t>
      </w:r>
      <w:proofErr w:type="gram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человек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Потенциал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рын</w:t>
      </w:r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к</w:t>
      </w:r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а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филе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береговой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переработки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(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то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есть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филе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произведённого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из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добытого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в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море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замороженного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на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борту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судна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доставленного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на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берег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и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повторно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размороженного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продовольственного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сырья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)</w:t>
      </w:r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больше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в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разы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.</w:t>
      </w:r>
      <w:proofErr w:type="gram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История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российского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рыбного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рынка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в 2004 – 2008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годах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показывает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громадные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рост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продаж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филе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белой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рыбы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(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преимущественно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пангасиус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и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тилапия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).</w:t>
      </w:r>
      <w:proofErr w:type="gram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в 2008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году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в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Россию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ввезли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gram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250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тысяч</w:t>
      </w:r>
      <w:proofErr w:type="spellEnd"/>
      <w:proofErr w:type="gram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тонн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рыбного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филе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Однако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игроки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рынка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в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погоне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за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прибылью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сами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разрушали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рынок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снижая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lastRenderedPageBreak/>
        <w:t>качество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продукции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.</w:t>
      </w:r>
      <w:proofErr w:type="gram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Это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стало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отпугивать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потребителей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, в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результате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продажи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филе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не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вернулись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к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докризисным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объёмам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.</w:t>
      </w:r>
      <w:proofErr w:type="gram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</w:p>
    <w:p w14:paraId="0DCE7571" w14:textId="352F209C" w:rsidR="00E5048F" w:rsidRDefault="00E5048F" w:rsidP="00E50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При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развитии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сегмента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производства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филе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минтая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береговой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переработки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возникает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парадокс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ценообразования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.</w:t>
      </w:r>
      <w:proofErr w:type="gram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Рентабельность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мороженного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обезглавленного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минтая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ниже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чем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рентабельность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филе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морской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заморозки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но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выше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чем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рентабельность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филе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береговой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переработки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.</w:t>
      </w:r>
      <w:proofErr w:type="gram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Только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при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низких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постоянных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и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операционных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издержках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российская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индустрия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береговой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переработки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способна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конкурировать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как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на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внутреннем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рынке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так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и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на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внешнем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.</w:t>
      </w:r>
      <w:proofErr w:type="gram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Отдельные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российские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переработчики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добиваются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успеха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либо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за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счёт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сокращения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постоянных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издержек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(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при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переработке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лосося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),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либо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за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счёт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жесточайшей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дисциплины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операционных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издержек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(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при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переработке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сайры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и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минтая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).</w:t>
      </w:r>
      <w:proofErr w:type="gram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Государственная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программа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val="en-US" w:eastAsia="ru-RU"/>
        </w:rPr>
        <w:t>“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Развитие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рыбного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хозяйства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” в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сочетании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с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мерами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внутренной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продовольственной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помощи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в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рамках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“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зелёной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корзины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” ВТО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способны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раскрыть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«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ценовой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зонтик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»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для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береговой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переработки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.</w:t>
      </w:r>
      <w:proofErr w:type="gram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</w:p>
    <w:p w14:paraId="25A62426" w14:textId="77777777" w:rsidR="00C67987" w:rsidRDefault="00C67987" w:rsidP="00E50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1C597B3" w14:textId="1066A7C0" w:rsidR="00C67987" w:rsidRPr="00C67987" w:rsidRDefault="00C67987" w:rsidP="00C67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noProof/>
          <w:lang w:val="en-US" w:eastAsia="ru-RU"/>
        </w:rPr>
        <w:drawing>
          <wp:inline distT="0" distB="0" distL="0" distR="0" wp14:anchorId="4D3E3982" wp14:editId="5A3C8D9D">
            <wp:extent cx="5325035" cy="3181190"/>
            <wp:effectExtent l="0" t="0" r="9525" b="1968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F8AC474" w14:textId="77777777" w:rsidR="00696158" w:rsidRPr="009B1591" w:rsidRDefault="00696158" w:rsidP="00E5048F">
      <w:pPr>
        <w:spacing w:after="10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E1F6512" w14:textId="2BC75F49" w:rsidR="00674557" w:rsidRPr="00960D49" w:rsidRDefault="00E5048F" w:rsidP="00E5048F">
      <w:pPr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60D49" w:rsidRPr="00960D49">
        <w:rPr>
          <w:rFonts w:ascii="Times New Roman" w:hAnsi="Times New Roman"/>
          <w:b/>
          <w:sz w:val="28"/>
          <w:szCs w:val="28"/>
        </w:rPr>
        <w:t xml:space="preserve">3. </w:t>
      </w:r>
      <w:r w:rsidR="0077602A" w:rsidRPr="00960D49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П</w:t>
      </w:r>
      <w:r w:rsidR="00D1166B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РОИЗВОДСТВО ПРОДУКЦИИ ИЗ СЕЛЬДИ </w:t>
      </w:r>
    </w:p>
    <w:p w14:paraId="6DC2ED85" w14:textId="20F60343" w:rsidR="0077602A" w:rsidRPr="009B1591" w:rsidRDefault="0077602A" w:rsidP="00E504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1591">
        <w:rPr>
          <w:rFonts w:ascii="Times New Roman" w:hAnsi="Times New Roman"/>
          <w:sz w:val="28"/>
          <w:szCs w:val="28"/>
        </w:rPr>
        <w:t xml:space="preserve">Начиная с 2000 года половину российского рынка сельди заняла импортная продукция из Норвегии. Норвежские рыбаки поставляют продукцию без предоплаты, государственный фонд страхует экспортные контракты и в случае невозврата выручки они получат компенсацию. У дальневосточных рыбаков таких финансовых возможностей нет. Поэтому крупные трейдеры и переработчики в европейской части России не очень заинтересованы в крупных контрактах с дальневосточными рыбаками. 82% </w:t>
      </w:r>
      <w:r w:rsidR="00960D49">
        <w:rPr>
          <w:rFonts w:ascii="Times New Roman" w:hAnsi="Times New Roman"/>
          <w:sz w:val="28"/>
          <w:szCs w:val="28"/>
        </w:rPr>
        <w:t xml:space="preserve">импортных </w:t>
      </w:r>
      <w:r w:rsidRPr="009B1591">
        <w:rPr>
          <w:rFonts w:ascii="Times New Roman" w:hAnsi="Times New Roman"/>
          <w:sz w:val="28"/>
          <w:szCs w:val="28"/>
        </w:rPr>
        <w:t xml:space="preserve">поставок </w:t>
      </w:r>
      <w:r w:rsidR="00960D49">
        <w:rPr>
          <w:rFonts w:ascii="Times New Roman" w:hAnsi="Times New Roman"/>
          <w:sz w:val="28"/>
          <w:szCs w:val="28"/>
        </w:rPr>
        <w:t xml:space="preserve">сельди </w:t>
      </w:r>
      <w:r w:rsidRPr="009B1591">
        <w:rPr>
          <w:rFonts w:ascii="Times New Roman" w:hAnsi="Times New Roman"/>
          <w:sz w:val="28"/>
          <w:szCs w:val="28"/>
        </w:rPr>
        <w:t xml:space="preserve">контролируют </w:t>
      </w:r>
      <w:r w:rsidR="00960D49">
        <w:rPr>
          <w:rFonts w:ascii="Times New Roman" w:hAnsi="Times New Roman"/>
          <w:sz w:val="28"/>
          <w:szCs w:val="28"/>
        </w:rPr>
        <w:t xml:space="preserve">десять компаний, следовательно, они вполне </w:t>
      </w:r>
      <w:r w:rsidR="00960D49">
        <w:rPr>
          <w:rFonts w:ascii="Times New Roman" w:hAnsi="Times New Roman"/>
          <w:sz w:val="28"/>
          <w:szCs w:val="28"/>
        </w:rPr>
        <w:lastRenderedPageBreak/>
        <w:t>могут значительно увеличить спрос на российскую сельдь и серьёзно повлиять на рынок.</w:t>
      </w:r>
    </w:p>
    <w:p w14:paraId="6961B59F" w14:textId="0F783BDE" w:rsidR="00A23EAA" w:rsidRPr="009B1591" w:rsidRDefault="00A23EAA" w:rsidP="00A55A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1591">
        <w:rPr>
          <w:rFonts w:ascii="Times New Roman" w:hAnsi="Times New Roman"/>
          <w:sz w:val="28"/>
          <w:szCs w:val="28"/>
        </w:rPr>
        <w:t xml:space="preserve">Анализ поставок продукции из сельди с высокой добавленной стоимостью показывает, что объём соответствующих поставок снижается начиная с 2009 года. В 2009 году поставки в Россию филе сельди составляли 5 693 тонны, поставки прочего мяса сельди – 47 207 тонн, в 2012 году соответствующие поставки составили 6 122 тонны и 36 619 тонн. Следовательно, за период с 2009 года объём поставок в Россию продукции из сельди с высокой добавленной стоимостью сократился на 10 159 тонн, то есть на 19,2%. Тенденция </w:t>
      </w:r>
      <w:proofErr w:type="spellStart"/>
      <w:r w:rsidRPr="009B1591">
        <w:rPr>
          <w:rFonts w:ascii="Times New Roman" w:hAnsi="Times New Roman"/>
          <w:sz w:val="28"/>
          <w:szCs w:val="28"/>
        </w:rPr>
        <w:t>импортз</w:t>
      </w:r>
      <w:r w:rsidR="0077602A">
        <w:rPr>
          <w:rFonts w:ascii="Times New Roman" w:hAnsi="Times New Roman"/>
          <w:sz w:val="28"/>
          <w:szCs w:val="28"/>
        </w:rPr>
        <w:t>амещения</w:t>
      </w:r>
      <w:proofErr w:type="spellEnd"/>
      <w:r w:rsidR="0077602A">
        <w:rPr>
          <w:rFonts w:ascii="Times New Roman" w:hAnsi="Times New Roman"/>
          <w:sz w:val="28"/>
          <w:szCs w:val="28"/>
        </w:rPr>
        <w:t xml:space="preserve"> нуждается в поддержке.</w:t>
      </w:r>
    </w:p>
    <w:p w14:paraId="129D62B5" w14:textId="499F5A7A" w:rsidR="00A55AAF" w:rsidRDefault="00A23EAA" w:rsidP="00D1166B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B1591">
        <w:rPr>
          <w:rFonts w:ascii="Times New Roman" w:hAnsi="Times New Roman"/>
          <w:noProof/>
          <w:sz w:val="28"/>
          <w:szCs w:val="28"/>
          <w:lang w:val="en-US" w:eastAsia="ru-RU"/>
        </w:rPr>
        <w:drawing>
          <wp:inline distT="0" distB="0" distL="0" distR="0" wp14:anchorId="600B3542" wp14:editId="29071525">
            <wp:extent cx="5936615" cy="3779851"/>
            <wp:effectExtent l="0" t="0" r="26035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732A981" w14:textId="186CCA58" w:rsidR="00A23EAA" w:rsidRPr="009B1591" w:rsidRDefault="00A23EAA" w:rsidP="00D116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1591">
        <w:rPr>
          <w:rFonts w:ascii="Times New Roman" w:hAnsi="Times New Roman"/>
          <w:sz w:val="28"/>
          <w:szCs w:val="28"/>
        </w:rPr>
        <w:t xml:space="preserve">При оценке российского рынка продукции из сельди и соотношения внутреннего производства и зарубежных поставок важно учитывать прогнозируемое сокращение вылова атлантической сельди. В 2010 году ОДУ атлантической сельди составлял 1 483 тысячи тонн, в </w:t>
      </w:r>
      <w:proofErr w:type="spellStart"/>
      <w:r w:rsidRPr="009B1591">
        <w:rPr>
          <w:rFonts w:ascii="Times New Roman" w:hAnsi="Times New Roman"/>
          <w:sz w:val="28"/>
          <w:szCs w:val="28"/>
        </w:rPr>
        <w:t>т.ч</w:t>
      </w:r>
      <w:proofErr w:type="spellEnd"/>
      <w:r w:rsidRPr="009B1591">
        <w:rPr>
          <w:rFonts w:ascii="Times New Roman" w:hAnsi="Times New Roman"/>
          <w:sz w:val="28"/>
          <w:szCs w:val="28"/>
        </w:rPr>
        <w:t xml:space="preserve">. российское ОДУ – 201,3 тысячи тонн. В 2011 году произошло резкое сокращение ОДУ атлантической сельди на 495 тысяч тонн (на 33,3%), в </w:t>
      </w:r>
      <w:proofErr w:type="spellStart"/>
      <w:r w:rsidRPr="009B1591">
        <w:rPr>
          <w:rFonts w:ascii="Times New Roman" w:hAnsi="Times New Roman"/>
          <w:sz w:val="28"/>
          <w:szCs w:val="28"/>
        </w:rPr>
        <w:t>т.ч</w:t>
      </w:r>
      <w:proofErr w:type="spellEnd"/>
      <w:r w:rsidRPr="009B1591">
        <w:rPr>
          <w:rFonts w:ascii="Times New Roman" w:hAnsi="Times New Roman"/>
          <w:sz w:val="28"/>
          <w:szCs w:val="28"/>
        </w:rPr>
        <w:t xml:space="preserve">. российское ОДУ сократилось до 146,3 тысяч тонн (на 27,4%). В 2012 году ОДУ атлантической сельди сократилось ещё на 155 тысяч тонн (на 15,6%), в </w:t>
      </w:r>
      <w:proofErr w:type="spellStart"/>
      <w:r w:rsidRPr="009B1591">
        <w:rPr>
          <w:rFonts w:ascii="Times New Roman" w:hAnsi="Times New Roman"/>
          <w:sz w:val="28"/>
          <w:szCs w:val="28"/>
        </w:rPr>
        <w:t>т.ч</w:t>
      </w:r>
      <w:proofErr w:type="spellEnd"/>
      <w:r w:rsidRPr="009B1591">
        <w:rPr>
          <w:rFonts w:ascii="Times New Roman" w:hAnsi="Times New Roman"/>
          <w:sz w:val="28"/>
          <w:szCs w:val="28"/>
        </w:rPr>
        <w:t xml:space="preserve">. российское – до 116,8 тысяч тонн (на 20%).  В 2013 году ОДУ атлантической сельди сократилось ещё на 214 тысяч тонн (на 25,6%), в </w:t>
      </w:r>
      <w:proofErr w:type="spellStart"/>
      <w:r w:rsidRPr="009B1591">
        <w:rPr>
          <w:rFonts w:ascii="Times New Roman" w:hAnsi="Times New Roman"/>
          <w:sz w:val="28"/>
          <w:szCs w:val="28"/>
        </w:rPr>
        <w:t>т.ч</w:t>
      </w:r>
      <w:proofErr w:type="spellEnd"/>
      <w:r w:rsidRPr="009B1591">
        <w:rPr>
          <w:rFonts w:ascii="Times New Roman" w:hAnsi="Times New Roman"/>
          <w:sz w:val="28"/>
          <w:szCs w:val="28"/>
        </w:rPr>
        <w:t>. российское – до 86,8 тысяч тонн (на 25,8%)</w:t>
      </w:r>
      <w:r w:rsidR="0077602A">
        <w:rPr>
          <w:rFonts w:ascii="Times New Roman" w:hAnsi="Times New Roman"/>
          <w:sz w:val="28"/>
          <w:szCs w:val="28"/>
        </w:rPr>
        <w:t xml:space="preserve">. </w:t>
      </w:r>
      <w:r w:rsidRPr="009B1591">
        <w:rPr>
          <w:rFonts w:ascii="Times New Roman" w:hAnsi="Times New Roman"/>
          <w:sz w:val="28"/>
          <w:szCs w:val="28"/>
        </w:rPr>
        <w:t xml:space="preserve">В наибольшей степени (в абсолютном выражении) снижение ОДУ на атлантическую сельдь затронуло Норвегию: за период с 2009 году норвежское ОДУ сократилось с </w:t>
      </w:r>
      <w:r w:rsidRPr="009B1591">
        <w:rPr>
          <w:rFonts w:ascii="Times New Roman" w:hAnsi="Times New Roman"/>
          <w:sz w:val="28"/>
          <w:szCs w:val="28"/>
        </w:rPr>
        <w:lastRenderedPageBreak/>
        <w:t xml:space="preserve">904,6 тысяч тонн до 377,6 тысяч тонн – на 58,2%. ОДУ на атлантическую сельдь для Исландии снизилось за указанный период с 215,2 тысяч тонн до 89,8 тысяч тонн – на 58,2%, для ЕС – с 96,5 тысяч тонн до 40,3 тысяч тонн (на 58,2%). Таким образом, начиная с 2009 года потери в вылове сельди составили для Норвегии – почти 527 тысяч тонн, для России – 114,5 тысяч тонн, для Исландии – 125,4 тысяч тонн, для ЕС – 56,2 тысяч тонн. Норвежские потери в вылове сельди составляют 60,9% совокупного снижения вылова сельди. </w:t>
      </w:r>
    </w:p>
    <w:p w14:paraId="5D9D7CC6" w14:textId="77777777" w:rsidR="00A23EAA" w:rsidRPr="009B1591" w:rsidRDefault="00A23EAA" w:rsidP="005774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1591">
        <w:rPr>
          <w:rFonts w:ascii="Times New Roman" w:hAnsi="Times New Roman"/>
          <w:noProof/>
          <w:sz w:val="28"/>
          <w:szCs w:val="28"/>
          <w:lang w:val="en-US" w:eastAsia="ru-RU"/>
        </w:rPr>
        <w:drawing>
          <wp:inline distT="0" distB="0" distL="0" distR="0" wp14:anchorId="0FC30310" wp14:editId="3DADB7DF">
            <wp:extent cx="5715635" cy="2631440"/>
            <wp:effectExtent l="0" t="0" r="24765" b="35560"/>
            <wp:docPr id="1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DC899A2" w14:textId="16D3D143" w:rsidR="00A23EAA" w:rsidRPr="009B1591" w:rsidRDefault="00DF4F32" w:rsidP="00DF4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1591">
        <w:rPr>
          <w:rFonts w:ascii="Times New Roman" w:hAnsi="Times New Roman"/>
          <w:sz w:val="28"/>
          <w:szCs w:val="28"/>
        </w:rPr>
        <w:t xml:space="preserve">Снижение вылова атлантической сельди влияет на общую динамику импорта сельди в Россию и структуру основных поставщиков. В 2009 году норвежские поставщики обеспечивали 90% поставок мороженной сельди в Россию (152,2 тысяч тонн из 171 тысячи тонн), 90% поставок филе сельди в Россию (5,1 тысячи тонн из 5,7 тысячи тонн) и 83% поставок прочего мяса сельди (39 тысяч тонн из 47 тысяч тонн). В 2010 году доля норвежских поставщиков в поставках мороженной сельди снизилась до 82% (115 тысяч тонн из 140 тысяч тонн), в поставках филе сельди выросла до 92% (6,5 тысяч тонн из 7.1 тысяч тонн) и снизилась до 78% в поставках прочего мяса сельди (36,4 тысяч тонн из 46,9 тысяч тонн). В 2011 году доля норвежских поставщиков в поставках мороженной сельди продолжила снижение до 75% (79,7 тысяч тонн из 106 тысяч тонн), в поставках филе сельди выросла до 95% (5,7 тысяч тонн из 6 тысяч тонн) и сократилась до 71% в поставках прочего мяса из сельди. В 2012 году доля норвежских поставщиков в поставках мороженной сельди продолжила снижение до 64,2% (60,6 тысяч тонн из 94,3 тысяч тонн), в поставках филе сельди снизилась до 94,1% (5,8 тысяч тонн из 6,1 тысяч тонн) и сократилась до 62,5% в поставках прочего мяса из сельди. </w:t>
      </w:r>
    </w:p>
    <w:p w14:paraId="13BAD6A9" w14:textId="77777777" w:rsidR="00A23EAA" w:rsidRPr="009B1591" w:rsidRDefault="00A23EAA" w:rsidP="005774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1591">
        <w:rPr>
          <w:rFonts w:ascii="Times New Roman" w:hAnsi="Times New Roman"/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437BDA1B" wp14:editId="5DFFB95F">
            <wp:extent cx="5715635" cy="2806700"/>
            <wp:effectExtent l="0" t="0" r="24765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54BB75C" w14:textId="24BB2496" w:rsidR="00A23EAA" w:rsidRDefault="00A23EAA" w:rsidP="00D116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1591">
        <w:rPr>
          <w:rFonts w:ascii="Times New Roman" w:hAnsi="Times New Roman"/>
          <w:sz w:val="28"/>
          <w:szCs w:val="28"/>
        </w:rPr>
        <w:t xml:space="preserve">Существует другая альтернатива иссякающим импортным поставкам из Норвегии – поставки тихоокеанской сельди из дальневосточных регионов России. ОДУ тихоокеанской сельди росло, начиная с 2008 года: 2008 год – 202,3 тысяч тонн, 2009 год – 269,7 тысяч тонн, 2010 год – 356,2 тысяч тонн, 2011 год – 390 тысяч тонн, 2012 год – 310,7 тысяч тонн (с учётом корректировки ОДУ </w:t>
      </w:r>
      <w:proofErr w:type="spellStart"/>
      <w:r w:rsidRPr="009B1591">
        <w:rPr>
          <w:rFonts w:ascii="Times New Roman" w:hAnsi="Times New Roman"/>
          <w:sz w:val="28"/>
          <w:szCs w:val="28"/>
        </w:rPr>
        <w:t>корфо-карагинской</w:t>
      </w:r>
      <w:proofErr w:type="spellEnd"/>
      <w:r w:rsidRPr="009B1591">
        <w:rPr>
          <w:rFonts w:ascii="Times New Roman" w:hAnsi="Times New Roman"/>
          <w:sz w:val="28"/>
          <w:szCs w:val="28"/>
        </w:rPr>
        <w:t xml:space="preserve"> сельди – 427 тысяч тонн). Начиная с 2010 года растёт вылов тихоокеанской сельди пользователями: 2009 год – 193 тысячи тонн (освоение квоты – 71,7%), 2010 год – 221,2 тысяч тонн (освоение квоты – 62%), 2011 год – 294,4 тысячи тонн (освоение квоты – 75%), 2012 год – 295,8 тысячи тонн. Вылов тихоокеанской сельди стал экономически выгодным промыслом, масштаб промысла увеличился. Поставки на внутренний рынок за указанный период увеличились с 106,5 тысяч тонн до 120 тысяч тонн.  </w:t>
      </w:r>
    </w:p>
    <w:p w14:paraId="34C60A08" w14:textId="7A407399" w:rsidR="00A23EAA" w:rsidRPr="009B1591" w:rsidRDefault="00DF4F32" w:rsidP="00DF4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1591">
        <w:rPr>
          <w:rFonts w:ascii="Times New Roman" w:hAnsi="Times New Roman"/>
          <w:sz w:val="28"/>
          <w:szCs w:val="28"/>
        </w:rPr>
        <w:t>Принципиально важным для понимания рынка продукции из сельди является динамика и соотношение отпускной и оптовой цен на сельдь. В 2009 году отпускная цена на мороженную тихоокеанскую сельдь во Владивостоке росла в течение почти всего года и поднялась с 23 рублей за килограмм до 36 рублей за килограмм, но в конце года рухнула до 25 рублей за килограмм. Оптовая цена на мороженную тихоокеанскую сельдь в Москве в течение всего года превосходила отпускную цену на 7 – 8 рублей, то есть составляла 30-процентную надбавку к цене рыбаков. В 2010 году поведение отпускной цены было похоже на события предшествующего года: рост к лету 2010 год до 32,5 рублей, а в ноябре падение до 27 рублей. Оптовая цена в этот период не поднималась выше 37 рублей и не отрывалась от цены рыбаков выше, чем на 5 – 6 рублей. 2011 год успокоил колебания рынка: отпускная цена росла в течение всего года и достигла уровня 35 рублей. В 2012 году отпускная цена колебалась и к концу года достигла уровня 37 рублей.</w:t>
      </w:r>
    </w:p>
    <w:p w14:paraId="2C7BA4EE" w14:textId="77777777" w:rsidR="00A23EAA" w:rsidRPr="009B1591" w:rsidRDefault="00A23EAA" w:rsidP="0057744A">
      <w:pPr>
        <w:spacing w:line="240" w:lineRule="auto"/>
        <w:rPr>
          <w:rFonts w:ascii="Times New Roman" w:hAnsi="Times New Roman"/>
          <w:sz w:val="28"/>
          <w:szCs w:val="28"/>
        </w:rPr>
      </w:pPr>
      <w:r w:rsidRPr="009B1591">
        <w:rPr>
          <w:rFonts w:ascii="Times New Roman" w:hAnsi="Times New Roman"/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21E4EA22" wp14:editId="6521D5CD">
            <wp:extent cx="5944235" cy="3311525"/>
            <wp:effectExtent l="0" t="0" r="24765" b="15875"/>
            <wp:docPr id="38" name="Объект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07CD2C5" w14:textId="77777777" w:rsidR="00A23EAA" w:rsidRPr="009B1591" w:rsidRDefault="00A23EAA" w:rsidP="00D116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1591">
        <w:rPr>
          <w:rFonts w:ascii="Times New Roman" w:hAnsi="Times New Roman"/>
          <w:sz w:val="28"/>
          <w:szCs w:val="28"/>
        </w:rPr>
        <w:t xml:space="preserve">Однако изменилось и поведение оптовой цены в Москве, которая достигла к концу 2012 года 63 рублей. Таким образом, отпускная цена мороженной тихоокеанской сельди во Владивостоке в течение 2010 – 2012 года выросла с 27,5 рублей за килограмм до 37 рублей за килограмм, а оптовая цена на мороженную тихоокеанскую сельдь в Москве за этот же период возросла с 32 рублей до 63 рублей. Отпускная цена российских рыбаков возросла за два года на 34,5%, а оптовая цена на тот же товар за тот же период возросла на 96,8%. Следовательно, скорость роста оптовых цен на мороженную тихоокеанскую сельдь почти втрое превышала скорость роста цены, по которой продукция реализовывалась рыбаками. </w:t>
      </w:r>
    </w:p>
    <w:p w14:paraId="18AEC316" w14:textId="751F5FCC" w:rsidR="00A23EAA" w:rsidRPr="009B1591" w:rsidRDefault="00A23EAA" w:rsidP="00D116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1591">
        <w:rPr>
          <w:rFonts w:ascii="Times New Roman" w:hAnsi="Times New Roman"/>
          <w:sz w:val="28"/>
          <w:szCs w:val="28"/>
        </w:rPr>
        <w:t xml:space="preserve">Цены на импортную мороженную сельдь также росли в указанный период: 2009 год – 25 рублей за килограмм, 2010 год – 26 рублей за килограмм, 2011 год – 38 рублей за килограмм. Росла и оптовая цена на импортную продукцию: 2010 год – 39 рублей (оптовая наценка – 14 рублей), 2011 год – 57 рублей (оптовая наценка – 19 рублей), 2012 год – 69 рублей (оптовая наценка – 24 рубля). </w:t>
      </w:r>
    </w:p>
    <w:p w14:paraId="037EF4BE" w14:textId="77777777" w:rsidR="00A23EAA" w:rsidRPr="009B1591" w:rsidRDefault="00A23EAA" w:rsidP="00D116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1591">
        <w:rPr>
          <w:rFonts w:ascii="Times New Roman" w:hAnsi="Times New Roman"/>
          <w:sz w:val="28"/>
          <w:szCs w:val="28"/>
        </w:rPr>
        <w:t xml:space="preserve">Размер импортной пошлины не является таким же весомым финансовым фактором как и оптовая наценка: величина импортной пошлины в пять раз меньше величины оптовой наценки, доля импортной пошлины в оптовой цене составляет 6,7%, а доля оптовой наценки  - 34,9%. Отпускная цена на тихоокеанскую сельдь выше таможенной стоимости импортной сельди примерно на величину импортной пошлины, однако оптовые цены на оба вида сельди почти на отличаются, а в розничной цене импортной сельди доля импортной пошлины </w:t>
      </w:r>
      <w:proofErr w:type="spellStart"/>
      <w:r w:rsidRPr="009B1591">
        <w:rPr>
          <w:rFonts w:ascii="Times New Roman" w:hAnsi="Times New Roman"/>
          <w:sz w:val="28"/>
          <w:szCs w:val="28"/>
        </w:rPr>
        <w:t>пошлины</w:t>
      </w:r>
      <w:proofErr w:type="spellEnd"/>
      <w:r w:rsidRPr="009B1591">
        <w:rPr>
          <w:rFonts w:ascii="Times New Roman" w:hAnsi="Times New Roman"/>
          <w:sz w:val="28"/>
          <w:szCs w:val="28"/>
        </w:rPr>
        <w:t xml:space="preserve"> вообще не превышает 2 -3%.  </w:t>
      </w:r>
    </w:p>
    <w:p w14:paraId="1B68A4EC" w14:textId="159F9D43" w:rsidR="00A23EAA" w:rsidRPr="009B1591" w:rsidRDefault="00A23EAA" w:rsidP="00DF4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1591">
        <w:rPr>
          <w:rFonts w:ascii="Times New Roman" w:hAnsi="Times New Roman"/>
          <w:sz w:val="28"/>
          <w:szCs w:val="28"/>
        </w:rPr>
        <w:lastRenderedPageBreak/>
        <w:t xml:space="preserve">Несмотря на незначительную разницу в цене и растущий дефицит атлантической сельди оптовые покупатели и переработчики не увеличивают в значительных объёмах закупки тихоокеанской сельди. В 2012 году вылов тихоокеанской сельди составил 295,8 тысяч тонн, вылов атлантической сельди российскими рыбаками составил 118,9 тысяч тонн. Однако оптовые покупатели и </w:t>
      </w:r>
      <w:proofErr w:type="spellStart"/>
      <w:r w:rsidRPr="009B1591">
        <w:rPr>
          <w:rFonts w:ascii="Times New Roman" w:hAnsi="Times New Roman"/>
          <w:sz w:val="28"/>
          <w:szCs w:val="28"/>
        </w:rPr>
        <w:t>рыбопереработчики</w:t>
      </w:r>
      <w:proofErr w:type="spellEnd"/>
      <w:r w:rsidRPr="009B1591">
        <w:rPr>
          <w:rFonts w:ascii="Times New Roman" w:hAnsi="Times New Roman"/>
          <w:sz w:val="28"/>
          <w:szCs w:val="28"/>
        </w:rPr>
        <w:t xml:space="preserve"> не производили в течение года крупных закупок тихоокеанской сельди, ожидая начала крупных поставок атлантической сельди от российских и зарубежных поставщиков.  </w:t>
      </w:r>
    </w:p>
    <w:p w14:paraId="188BBDDD" w14:textId="77777777" w:rsidR="00A23EAA" w:rsidRPr="009B1591" w:rsidRDefault="00A23EAA" w:rsidP="005774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1591">
        <w:rPr>
          <w:rFonts w:ascii="Times New Roman" w:hAnsi="Times New Roman"/>
          <w:noProof/>
          <w:sz w:val="28"/>
          <w:szCs w:val="28"/>
          <w:lang w:val="en-US" w:eastAsia="ru-RU"/>
        </w:rPr>
        <w:drawing>
          <wp:inline distT="0" distB="0" distL="0" distR="0" wp14:anchorId="4CC02402" wp14:editId="67B2B66B">
            <wp:extent cx="5934075" cy="34671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C0B206E" w14:textId="77777777" w:rsidR="0042151D" w:rsidRDefault="00A23EAA" w:rsidP="00D116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1591">
        <w:rPr>
          <w:rFonts w:ascii="Times New Roman" w:hAnsi="Times New Roman"/>
          <w:sz w:val="28"/>
          <w:szCs w:val="28"/>
        </w:rPr>
        <w:t xml:space="preserve">Важно учитывать промысловый календарь российских рыбаков и календарь поставок импортной продукции. Обычно 55% ОДУ тихоокеанской сельди осваивается до 1 мая, 45% ОДУ тихоокеанской сельди – после 1 октября. Таким образом, российские рыбаки на Дальнем Востоке нуждаются в сбыте значительных объёмов сельди в феврале – апреле и ноябре – декабре. Прогнозируемое распределение освоения ОДУ тихоокеанской сельди может иметь следующий график: 32% ОДУ тихоокеанской сельди будет освоено до 10 апреля, 68% ОДУ тихоокеанской сельди будет освоено после 1 октября. Учитывая сложившийся график работы оптовых покупателей и переработчиков, следует ожидать крупных поставок атлантической сельди в период до октября, то есть до начала основного промысла тихоокеанской сельди. Промысел атлантической сельди построен так: норвежские рыбаки до 1 июня осваивают менее 4% ОДУ сельди, и основные поставки мороженной сельди из Норвегии происходят в период с июня по ноябрь. В таком случае крупные партии сельди, особенно </w:t>
      </w:r>
      <w:proofErr w:type="spellStart"/>
      <w:r w:rsidRPr="009B1591">
        <w:rPr>
          <w:rFonts w:ascii="Times New Roman" w:hAnsi="Times New Roman"/>
          <w:sz w:val="28"/>
          <w:szCs w:val="28"/>
        </w:rPr>
        <w:t>корфо-карагинской</w:t>
      </w:r>
      <w:proofErr w:type="spellEnd"/>
      <w:r w:rsidRPr="009B1591">
        <w:rPr>
          <w:rFonts w:ascii="Times New Roman" w:hAnsi="Times New Roman"/>
          <w:sz w:val="28"/>
          <w:szCs w:val="28"/>
        </w:rPr>
        <w:t xml:space="preserve"> сельди, которая близка по свойствам атлантической сельди, начнут поступать на рынок после того, как он уже будет заполнен импортной продукцией. Поведение закупщиков в первой половине текущего года (в период хорошо </w:t>
      </w:r>
      <w:r w:rsidRPr="009B1591">
        <w:rPr>
          <w:rFonts w:ascii="Times New Roman" w:hAnsi="Times New Roman"/>
          <w:sz w:val="28"/>
          <w:szCs w:val="28"/>
        </w:rPr>
        <w:lastRenderedPageBreak/>
        <w:t>осознаваемого всеми оптовиками и переработчиками дефицита мороженной сельди) показывает неизменность их закупочных стратегий и несоответствие этих закупочных стратегий промысловой стратегии дальневосточных рыбаков (при том, что промысловая стратегия жёстко определена Правилами рыболовства и не может быть изменена в отличие от закупочной стратегии).</w:t>
      </w:r>
    </w:p>
    <w:p w14:paraId="2F1A799D" w14:textId="77777777" w:rsidR="0042151D" w:rsidRDefault="0042151D" w:rsidP="00D116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5B84FF5" w14:textId="6C02C814" w:rsidR="0042151D" w:rsidRPr="0042151D" w:rsidRDefault="00D424AB" w:rsidP="00D1166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42151D" w:rsidRPr="0042151D">
        <w:rPr>
          <w:rFonts w:ascii="Times New Roman" w:hAnsi="Times New Roman"/>
          <w:b/>
          <w:sz w:val="28"/>
          <w:szCs w:val="28"/>
        </w:rPr>
        <w:t>4. ПРОИЗВОДСТВО ПРОДУКЦИИ ИЗ ЛОСОСЯ</w:t>
      </w:r>
    </w:p>
    <w:p w14:paraId="70DE21C0" w14:textId="5E7813A0" w:rsidR="00D8125C" w:rsidRDefault="0042151D" w:rsidP="004215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151D">
        <w:rPr>
          <w:rFonts w:ascii="Times New Roman" w:hAnsi="Times New Roman"/>
          <w:sz w:val="28"/>
          <w:szCs w:val="28"/>
        </w:rPr>
        <w:t xml:space="preserve">      </w:t>
      </w:r>
      <w:r w:rsidR="004B6991">
        <w:rPr>
          <w:rFonts w:ascii="Times New Roman" w:hAnsi="Times New Roman"/>
          <w:sz w:val="28"/>
          <w:szCs w:val="28"/>
        </w:rPr>
        <w:t xml:space="preserve">Рынок продукции из лосося целесообразно разделить на два уровня: 1) рынок продовольственного сырья из лосося для производства продукции; 2) рынок готовой лососёвой продукции в различном ассортименте и различных видах переработки (обработки). В свою очередь рынок продовольственного сырья из лосося целесообразно разделить на два ценовых сегмента: 1) премиальный сегмент – рынок охлаждённой продукции; 2) эконом-сегмент – рынок замороженной продукции. Статистка показывает, что в премиальном сегменте рынка продовольственного сырья из лосося доминирует импортная продукция. Можно говорить о монопольном контроле этого сегмента норвежскими производителями. В эконом-сегменте рынка продовольственного сырья из лосося </w:t>
      </w:r>
      <w:r w:rsidR="00D8125C">
        <w:rPr>
          <w:rFonts w:ascii="Times New Roman" w:hAnsi="Times New Roman"/>
          <w:sz w:val="28"/>
          <w:szCs w:val="28"/>
        </w:rPr>
        <w:t xml:space="preserve">доминируют российские предприятий, добывающие лосось в дальневосточных морях. Однако рыночная власть российских рыбодобывающих предприятий в указанном сегменте в значительной степени ограничена инфраструктурными ограничениями в секторе складского-холодильного хранения и специализированного подвижного состава для перевозки рефрижераторных грузов. </w:t>
      </w:r>
      <w:r w:rsidR="004B6991">
        <w:rPr>
          <w:rFonts w:ascii="Times New Roman" w:hAnsi="Times New Roman"/>
          <w:sz w:val="28"/>
          <w:szCs w:val="28"/>
        </w:rPr>
        <w:t xml:space="preserve"> </w:t>
      </w:r>
    </w:p>
    <w:p w14:paraId="1751E3A3" w14:textId="53914804" w:rsidR="0042151D" w:rsidRDefault="00D8125C" w:rsidP="004215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6991">
        <w:rPr>
          <w:rFonts w:ascii="Times New Roman" w:hAnsi="Times New Roman"/>
          <w:sz w:val="28"/>
          <w:szCs w:val="28"/>
        </w:rPr>
        <w:t xml:space="preserve"> </w:t>
      </w:r>
      <w:r w:rsidR="0042151D" w:rsidRPr="0042151D">
        <w:rPr>
          <w:rFonts w:ascii="Times New Roman" w:hAnsi="Times New Roman"/>
          <w:sz w:val="28"/>
          <w:szCs w:val="28"/>
        </w:rPr>
        <w:t xml:space="preserve">Рынок охлаждённой лосося быстро растёт с 2004 года, единственный раз он споткнулся в 2006 году. </w:t>
      </w:r>
      <w:proofErr w:type="spellStart"/>
      <w:r w:rsidR="0042151D" w:rsidRPr="0042151D">
        <w:rPr>
          <w:rFonts w:ascii="Times New Roman" w:hAnsi="Times New Roman"/>
          <w:sz w:val="28"/>
          <w:szCs w:val="28"/>
        </w:rPr>
        <w:t>Россельхознадзор</w:t>
      </w:r>
      <w:proofErr w:type="spellEnd"/>
      <w:r w:rsidR="0042151D" w:rsidRPr="0042151D">
        <w:rPr>
          <w:rFonts w:ascii="Times New Roman" w:hAnsi="Times New Roman"/>
          <w:sz w:val="28"/>
          <w:szCs w:val="28"/>
        </w:rPr>
        <w:t xml:space="preserve"> ввёл ограничения на поставки из Норвегии в связи с обнаружением тяжёлых металлов, опасных как для человека, так и для животных. Однако действия регулятора не повлияли на долгосрочный тренд: очень высоким оказался растущий спрос и очень мощной является производственная база </w:t>
      </w:r>
      <w:proofErr w:type="spellStart"/>
      <w:r w:rsidR="0042151D" w:rsidRPr="0042151D">
        <w:rPr>
          <w:rFonts w:ascii="Times New Roman" w:hAnsi="Times New Roman"/>
          <w:sz w:val="28"/>
          <w:szCs w:val="28"/>
        </w:rPr>
        <w:t>аквакультуры</w:t>
      </w:r>
      <w:proofErr w:type="spellEnd"/>
      <w:r w:rsidR="0042151D" w:rsidRPr="0042151D">
        <w:rPr>
          <w:rFonts w:ascii="Times New Roman" w:hAnsi="Times New Roman"/>
          <w:sz w:val="28"/>
          <w:szCs w:val="28"/>
        </w:rPr>
        <w:t>. Хотя доходность этого бизнеса снизилась.</w:t>
      </w:r>
    </w:p>
    <w:p w14:paraId="5C290286" w14:textId="6188E952" w:rsidR="00C67987" w:rsidRDefault="00C67987" w:rsidP="00C679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val="en-US" w:eastAsia="ru-RU"/>
        </w:rPr>
        <w:lastRenderedPageBreak/>
        <w:drawing>
          <wp:inline distT="0" distB="0" distL="0" distR="0" wp14:anchorId="635B6C79" wp14:editId="0855C32A">
            <wp:extent cx="5294299" cy="3526971"/>
            <wp:effectExtent l="0" t="0" r="20955" b="1651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8F34019" w14:textId="77777777" w:rsidR="00C67987" w:rsidRDefault="00C67987" w:rsidP="004215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3B969897" w14:textId="42B07BC5" w:rsidR="0042151D" w:rsidRPr="0042151D" w:rsidRDefault="0042151D" w:rsidP="004215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151D">
        <w:rPr>
          <w:rFonts w:ascii="Times New Roman" w:hAnsi="Times New Roman"/>
          <w:sz w:val="28"/>
          <w:szCs w:val="28"/>
        </w:rPr>
        <w:t xml:space="preserve">В данном сегменте чрезвычайно значимым может являться </w:t>
      </w:r>
      <w:proofErr w:type="spellStart"/>
      <w:r w:rsidRPr="0042151D">
        <w:rPr>
          <w:rFonts w:ascii="Times New Roman" w:hAnsi="Times New Roman"/>
          <w:sz w:val="28"/>
          <w:szCs w:val="28"/>
        </w:rPr>
        <w:t>аквакультурное</w:t>
      </w:r>
      <w:proofErr w:type="spellEnd"/>
      <w:r w:rsidRPr="0042151D">
        <w:rPr>
          <w:rFonts w:ascii="Times New Roman" w:hAnsi="Times New Roman"/>
          <w:sz w:val="28"/>
          <w:szCs w:val="28"/>
        </w:rPr>
        <w:t xml:space="preserve"> производство: индустриальное рыбоводство и пастбищное рыбоводство. Развитие ферм по выращиванию атлантического лосося (сёмги) в морских садках в фьордах Мурманского полуострова, по прогнозам </w:t>
      </w:r>
      <w:proofErr w:type="spellStart"/>
      <w:r w:rsidRPr="0042151D">
        <w:rPr>
          <w:rFonts w:ascii="Times New Roman" w:hAnsi="Times New Roman"/>
          <w:sz w:val="28"/>
          <w:szCs w:val="28"/>
        </w:rPr>
        <w:t>Росрыбхоза</w:t>
      </w:r>
      <w:proofErr w:type="spellEnd"/>
      <w:r w:rsidRPr="0042151D">
        <w:rPr>
          <w:rFonts w:ascii="Times New Roman" w:hAnsi="Times New Roman"/>
          <w:sz w:val="28"/>
          <w:szCs w:val="28"/>
        </w:rPr>
        <w:t xml:space="preserve">, способно за пять лет увеличить объём производства сёмги до 15 тысяч тонн в год. </w:t>
      </w:r>
    </w:p>
    <w:p w14:paraId="1B68B16C" w14:textId="2F4AD75C" w:rsidR="0042151D" w:rsidRPr="0042151D" w:rsidRDefault="0042151D" w:rsidP="004215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151D">
        <w:rPr>
          <w:rFonts w:ascii="Times New Roman" w:hAnsi="Times New Roman"/>
          <w:sz w:val="28"/>
          <w:szCs w:val="28"/>
        </w:rPr>
        <w:t xml:space="preserve">Пастбищное рыбоводство – наиболее экономичное направление получения товарной рыбы, основанное на использовании природного </w:t>
      </w:r>
      <w:proofErr w:type="spellStart"/>
      <w:r w:rsidRPr="0042151D">
        <w:rPr>
          <w:rFonts w:ascii="Times New Roman" w:hAnsi="Times New Roman"/>
          <w:sz w:val="28"/>
          <w:szCs w:val="28"/>
        </w:rPr>
        <w:t>биопродукционного</w:t>
      </w:r>
      <w:proofErr w:type="spellEnd"/>
      <w:r w:rsidRPr="0042151D">
        <w:rPr>
          <w:rFonts w:ascii="Times New Roman" w:hAnsi="Times New Roman"/>
          <w:sz w:val="28"/>
          <w:szCs w:val="28"/>
        </w:rPr>
        <w:t xml:space="preserve"> потенциала. Однако действующая нормативная правовая база не позволяет действительно развивать этот сегмент. В целом, по оценкам </w:t>
      </w:r>
      <w:proofErr w:type="spellStart"/>
      <w:r w:rsidRPr="0042151D">
        <w:rPr>
          <w:rFonts w:ascii="Times New Roman" w:hAnsi="Times New Roman"/>
          <w:sz w:val="28"/>
          <w:szCs w:val="28"/>
        </w:rPr>
        <w:t>Росрыбхоза</w:t>
      </w:r>
      <w:proofErr w:type="spellEnd"/>
      <w:r w:rsidRPr="0042151D">
        <w:rPr>
          <w:rFonts w:ascii="Times New Roman" w:hAnsi="Times New Roman"/>
          <w:sz w:val="28"/>
          <w:szCs w:val="28"/>
        </w:rPr>
        <w:t xml:space="preserve">, за пять лет реально увеличить объём производства продукции из лосося за счёт индустриального и пастбищного рыбоводства </w:t>
      </w:r>
    </w:p>
    <w:p w14:paraId="1A6B4A89" w14:textId="77777777" w:rsidR="0042151D" w:rsidRPr="00153C2B" w:rsidRDefault="0042151D" w:rsidP="0042151D">
      <w:pPr>
        <w:spacing w:line="240" w:lineRule="auto"/>
        <w:rPr>
          <w:lang w:val="en-US"/>
        </w:rPr>
      </w:pPr>
    </w:p>
    <w:p w14:paraId="755BAC62" w14:textId="77777777" w:rsidR="0042151D" w:rsidRPr="0042151D" w:rsidRDefault="0042151D" w:rsidP="0042151D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4BDAAB2" w14:textId="6FE473DF" w:rsidR="0077602A" w:rsidRPr="00D424AB" w:rsidRDefault="00A23EAA" w:rsidP="00D116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1591">
        <w:rPr>
          <w:rFonts w:ascii="Times New Roman" w:hAnsi="Times New Roman"/>
          <w:sz w:val="28"/>
          <w:szCs w:val="28"/>
        </w:rPr>
        <w:t xml:space="preserve"> </w:t>
      </w:r>
      <w:r w:rsidR="00D424AB">
        <w:rPr>
          <w:rFonts w:ascii="Times New Roman" w:hAnsi="Times New Roman"/>
          <w:sz w:val="28"/>
          <w:szCs w:val="28"/>
        </w:rPr>
        <w:t xml:space="preserve">     </w:t>
      </w:r>
      <w:r w:rsidR="0042151D">
        <w:rPr>
          <w:rFonts w:ascii="Times New Roman" w:hAnsi="Times New Roman"/>
          <w:b/>
          <w:sz w:val="28"/>
          <w:szCs w:val="28"/>
        </w:rPr>
        <w:t>5</w:t>
      </w:r>
      <w:r w:rsidR="00960D49">
        <w:rPr>
          <w:rFonts w:ascii="Times New Roman" w:hAnsi="Times New Roman"/>
          <w:b/>
          <w:sz w:val="28"/>
          <w:szCs w:val="28"/>
        </w:rPr>
        <w:t>. В</w:t>
      </w:r>
      <w:r w:rsidR="00D1166B">
        <w:rPr>
          <w:rFonts w:ascii="Times New Roman" w:hAnsi="Times New Roman"/>
          <w:b/>
          <w:sz w:val="28"/>
          <w:szCs w:val="28"/>
        </w:rPr>
        <w:t>ЫВОДЫ</w:t>
      </w:r>
    </w:p>
    <w:p w14:paraId="60D79A8D" w14:textId="30D888CF" w:rsidR="0077602A" w:rsidRDefault="0042151D" w:rsidP="00D116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60D49">
        <w:rPr>
          <w:rFonts w:ascii="Times New Roman" w:hAnsi="Times New Roman"/>
          <w:sz w:val="28"/>
          <w:szCs w:val="28"/>
        </w:rPr>
        <w:t xml:space="preserve">.1. </w:t>
      </w:r>
      <w:r w:rsidR="0077602A">
        <w:rPr>
          <w:rFonts w:ascii="Times New Roman" w:hAnsi="Times New Roman"/>
          <w:sz w:val="28"/>
          <w:szCs w:val="28"/>
        </w:rPr>
        <w:t xml:space="preserve">Для увеличения производства продукции с высокой степенью переработки необходима реализация программы закупок </w:t>
      </w:r>
      <w:proofErr w:type="spellStart"/>
      <w:r w:rsidR="0077602A">
        <w:rPr>
          <w:rFonts w:ascii="Times New Roman" w:hAnsi="Times New Roman"/>
          <w:sz w:val="28"/>
          <w:szCs w:val="28"/>
        </w:rPr>
        <w:t>рыбопродукции</w:t>
      </w:r>
      <w:proofErr w:type="spellEnd"/>
      <w:r w:rsidR="0077602A">
        <w:rPr>
          <w:rFonts w:ascii="Times New Roman" w:hAnsi="Times New Roman"/>
          <w:sz w:val="28"/>
          <w:szCs w:val="28"/>
        </w:rPr>
        <w:t xml:space="preserve"> для государственных нужд. Федеральный закон</w:t>
      </w:r>
      <w:r w:rsidR="0077602A" w:rsidRPr="00E34B6E">
        <w:rPr>
          <w:rFonts w:ascii="Times New Roman" w:hAnsi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 (О федеральной контрактной системе в сфере за</w:t>
      </w:r>
      <w:r w:rsidR="0077602A">
        <w:rPr>
          <w:rFonts w:ascii="Times New Roman" w:hAnsi="Times New Roman"/>
          <w:sz w:val="28"/>
          <w:szCs w:val="28"/>
        </w:rPr>
        <w:t xml:space="preserve">купок товаров, работ и услуг)» может стать правовой основой для увеличения </w:t>
      </w:r>
      <w:r w:rsidR="0077602A">
        <w:rPr>
          <w:rFonts w:ascii="Times New Roman" w:hAnsi="Times New Roman"/>
          <w:sz w:val="28"/>
          <w:szCs w:val="28"/>
        </w:rPr>
        <w:lastRenderedPageBreak/>
        <w:t xml:space="preserve">ёмкости внутреннего рынка </w:t>
      </w:r>
      <w:proofErr w:type="spellStart"/>
      <w:r w:rsidR="0077602A">
        <w:rPr>
          <w:rFonts w:ascii="Times New Roman" w:hAnsi="Times New Roman"/>
          <w:sz w:val="28"/>
          <w:szCs w:val="28"/>
        </w:rPr>
        <w:t>рыбопродукции</w:t>
      </w:r>
      <w:proofErr w:type="spellEnd"/>
      <w:r w:rsidR="0077602A">
        <w:rPr>
          <w:rFonts w:ascii="Times New Roman" w:hAnsi="Times New Roman"/>
          <w:sz w:val="28"/>
          <w:szCs w:val="28"/>
        </w:rPr>
        <w:t xml:space="preserve"> и расширения закупок отечественной </w:t>
      </w:r>
      <w:proofErr w:type="spellStart"/>
      <w:r w:rsidR="0077602A">
        <w:rPr>
          <w:rFonts w:ascii="Times New Roman" w:hAnsi="Times New Roman"/>
          <w:sz w:val="28"/>
          <w:szCs w:val="28"/>
        </w:rPr>
        <w:t>рыбопродукции</w:t>
      </w:r>
      <w:proofErr w:type="spellEnd"/>
      <w:r w:rsidR="0077602A">
        <w:rPr>
          <w:rFonts w:ascii="Times New Roman" w:hAnsi="Times New Roman"/>
          <w:sz w:val="28"/>
          <w:szCs w:val="28"/>
        </w:rPr>
        <w:t xml:space="preserve">. </w:t>
      </w:r>
    </w:p>
    <w:p w14:paraId="4A510770" w14:textId="0E28ACE7" w:rsidR="0077602A" w:rsidRPr="00E34B6E" w:rsidRDefault="0077602A" w:rsidP="00D116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4B6E">
        <w:rPr>
          <w:rFonts w:ascii="Times New Roman" w:hAnsi="Times New Roman"/>
          <w:sz w:val="28"/>
          <w:szCs w:val="28"/>
        </w:rPr>
        <w:t>В  соответс</w:t>
      </w:r>
      <w:r>
        <w:rPr>
          <w:rFonts w:ascii="Times New Roman" w:hAnsi="Times New Roman"/>
          <w:sz w:val="28"/>
          <w:szCs w:val="28"/>
        </w:rPr>
        <w:t>твие с пунктом 9 статьи 2 закона</w:t>
      </w:r>
      <w:r w:rsidRPr="00E34B6E">
        <w:rPr>
          <w:rFonts w:ascii="Times New Roman" w:hAnsi="Times New Roman"/>
          <w:sz w:val="28"/>
          <w:szCs w:val="28"/>
        </w:rPr>
        <w:t xml:space="preserve"> должна быть создана «единая информационная система в сфере закупок, которая</w:t>
      </w:r>
      <w:r>
        <w:rPr>
          <w:rFonts w:ascii="Times New Roman" w:hAnsi="Times New Roman"/>
          <w:sz w:val="28"/>
          <w:szCs w:val="28"/>
        </w:rPr>
        <w:t xml:space="preserve"> включает</w:t>
      </w:r>
      <w:r w:rsidRPr="00E34B6E">
        <w:rPr>
          <w:rFonts w:ascii="Times New Roman" w:hAnsi="Times New Roman"/>
          <w:sz w:val="28"/>
          <w:szCs w:val="28"/>
        </w:rPr>
        <w:t xml:space="preserve"> планы и планы-графики закупок.</w:t>
      </w:r>
      <w:r>
        <w:rPr>
          <w:rFonts w:ascii="Times New Roman" w:hAnsi="Times New Roman"/>
          <w:sz w:val="28"/>
          <w:szCs w:val="28"/>
        </w:rPr>
        <w:t xml:space="preserve"> Э</w:t>
      </w:r>
      <w:r w:rsidRPr="00E34B6E">
        <w:rPr>
          <w:rFonts w:ascii="Times New Roman" w:hAnsi="Times New Roman"/>
          <w:sz w:val="28"/>
          <w:szCs w:val="28"/>
        </w:rPr>
        <w:t xml:space="preserve">то позволит состыковать промысловый календарь российских рыбаков и календарь закупок российских </w:t>
      </w:r>
      <w:r>
        <w:rPr>
          <w:rFonts w:ascii="Times New Roman" w:hAnsi="Times New Roman"/>
          <w:sz w:val="28"/>
          <w:szCs w:val="28"/>
        </w:rPr>
        <w:t>ведомств. Б</w:t>
      </w:r>
      <w:r w:rsidRPr="00E34B6E">
        <w:rPr>
          <w:rFonts w:ascii="Times New Roman" w:hAnsi="Times New Roman"/>
          <w:sz w:val="28"/>
          <w:szCs w:val="28"/>
        </w:rPr>
        <w:t xml:space="preserve">ольше половины вылова минтая </w:t>
      </w:r>
      <w:r>
        <w:rPr>
          <w:rFonts w:ascii="Times New Roman" w:hAnsi="Times New Roman"/>
          <w:sz w:val="28"/>
          <w:szCs w:val="28"/>
        </w:rPr>
        <w:t xml:space="preserve">(900 тысяч тонн) </w:t>
      </w:r>
      <w:r w:rsidRPr="00E34B6E">
        <w:rPr>
          <w:rFonts w:ascii="Times New Roman" w:hAnsi="Times New Roman"/>
          <w:sz w:val="28"/>
          <w:szCs w:val="28"/>
        </w:rPr>
        <w:t>происходит в первые сто дн</w:t>
      </w:r>
      <w:r>
        <w:rPr>
          <w:rFonts w:ascii="Times New Roman" w:hAnsi="Times New Roman"/>
          <w:sz w:val="28"/>
          <w:szCs w:val="28"/>
        </w:rPr>
        <w:t>ей года. Именно в этот период рыбаки</w:t>
      </w:r>
      <w:r w:rsidRPr="00E34B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нуждаются</w:t>
      </w:r>
      <w:r w:rsidRPr="00E34B6E">
        <w:rPr>
          <w:rFonts w:ascii="Times New Roman" w:hAnsi="Times New Roman"/>
          <w:sz w:val="28"/>
          <w:szCs w:val="28"/>
        </w:rPr>
        <w:t xml:space="preserve"> в гарантированных контр</w:t>
      </w:r>
      <w:r>
        <w:rPr>
          <w:rFonts w:ascii="Times New Roman" w:hAnsi="Times New Roman"/>
          <w:sz w:val="28"/>
          <w:szCs w:val="28"/>
        </w:rPr>
        <w:t>актах или подтверждении покупок</w:t>
      </w:r>
      <w:r w:rsidRPr="00E34B6E">
        <w:rPr>
          <w:rFonts w:ascii="Times New Roman" w:hAnsi="Times New Roman"/>
          <w:sz w:val="28"/>
          <w:szCs w:val="28"/>
        </w:rPr>
        <w:t xml:space="preserve"> улова и </w:t>
      </w:r>
      <w:r>
        <w:rPr>
          <w:rFonts w:ascii="Times New Roman" w:hAnsi="Times New Roman"/>
          <w:sz w:val="28"/>
          <w:szCs w:val="28"/>
        </w:rPr>
        <w:t xml:space="preserve">производимой </w:t>
      </w:r>
      <w:r w:rsidRPr="00E34B6E">
        <w:rPr>
          <w:rFonts w:ascii="Times New Roman" w:hAnsi="Times New Roman"/>
          <w:sz w:val="28"/>
          <w:szCs w:val="28"/>
        </w:rPr>
        <w:t xml:space="preserve">продукции. </w:t>
      </w:r>
    </w:p>
    <w:p w14:paraId="219722F7" w14:textId="495FD1A2" w:rsidR="0077602A" w:rsidRDefault="0077602A" w:rsidP="00D116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4B6E">
        <w:rPr>
          <w:rFonts w:ascii="Times New Roman" w:hAnsi="Times New Roman"/>
          <w:sz w:val="28"/>
          <w:szCs w:val="28"/>
        </w:rPr>
        <w:t xml:space="preserve">Очень важной представляется  статья 20 законопроекта, которая предусматривает обязательное общественное обсуждение закупок. В законопроекте сказано, что «Правительством РФ устанавливаются случаи проведения обязательного общественного обсуждения закупок и его порядок». </w:t>
      </w:r>
      <w:r>
        <w:rPr>
          <w:rFonts w:ascii="Times New Roman" w:hAnsi="Times New Roman"/>
          <w:sz w:val="28"/>
          <w:szCs w:val="28"/>
        </w:rPr>
        <w:t xml:space="preserve">Считаем необходимым общественное обсуждение плана закупок </w:t>
      </w:r>
      <w:proofErr w:type="spellStart"/>
      <w:r>
        <w:rPr>
          <w:rFonts w:ascii="Times New Roman" w:hAnsi="Times New Roman"/>
          <w:sz w:val="28"/>
          <w:szCs w:val="28"/>
        </w:rPr>
        <w:t>рыбопродукции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государственных нужд. </w:t>
      </w:r>
    </w:p>
    <w:p w14:paraId="5F512F69" w14:textId="2C43B3A4" w:rsidR="0077602A" w:rsidRDefault="0042151D" w:rsidP="00D116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60D49">
        <w:rPr>
          <w:rFonts w:ascii="Times New Roman" w:hAnsi="Times New Roman"/>
          <w:sz w:val="28"/>
          <w:szCs w:val="28"/>
        </w:rPr>
        <w:t xml:space="preserve">.2. </w:t>
      </w:r>
      <w:r w:rsidR="0077602A">
        <w:rPr>
          <w:rFonts w:ascii="Times New Roman" w:hAnsi="Times New Roman"/>
          <w:sz w:val="28"/>
          <w:szCs w:val="28"/>
        </w:rPr>
        <w:t xml:space="preserve">При подготовке </w:t>
      </w:r>
      <w:r w:rsidR="00960D49">
        <w:rPr>
          <w:rFonts w:ascii="Times New Roman" w:hAnsi="Times New Roman"/>
          <w:sz w:val="28"/>
          <w:szCs w:val="28"/>
        </w:rPr>
        <w:t xml:space="preserve">конкретных </w:t>
      </w:r>
      <w:r w:rsidR="0077602A">
        <w:rPr>
          <w:rFonts w:ascii="Times New Roman" w:hAnsi="Times New Roman"/>
          <w:sz w:val="28"/>
          <w:szCs w:val="28"/>
        </w:rPr>
        <w:t xml:space="preserve">предложений </w:t>
      </w:r>
      <w:r w:rsidR="00960D49">
        <w:rPr>
          <w:rFonts w:ascii="Times New Roman" w:hAnsi="Times New Roman"/>
          <w:sz w:val="28"/>
          <w:szCs w:val="28"/>
        </w:rPr>
        <w:t xml:space="preserve">по мерам поддержки производства продукции с высокой степенью переработки </w:t>
      </w:r>
      <w:r w:rsidR="0077602A" w:rsidRPr="009B1591">
        <w:rPr>
          <w:rFonts w:ascii="Times New Roman" w:hAnsi="Times New Roman"/>
          <w:sz w:val="28"/>
          <w:szCs w:val="28"/>
        </w:rPr>
        <w:t>необходимо учитывать следующие факторы:</w:t>
      </w:r>
      <w:r w:rsidR="0077602A">
        <w:rPr>
          <w:rFonts w:ascii="Times New Roman" w:hAnsi="Times New Roman"/>
          <w:sz w:val="28"/>
          <w:szCs w:val="28"/>
        </w:rPr>
        <w:t xml:space="preserve"> 1) </w:t>
      </w:r>
      <w:r w:rsidR="0077602A" w:rsidRPr="009B1591">
        <w:rPr>
          <w:rFonts w:ascii="Times New Roman" w:hAnsi="Times New Roman"/>
          <w:sz w:val="28"/>
          <w:szCs w:val="28"/>
        </w:rPr>
        <w:t>детальный анализ динамики всех сегментов продукции из сельди: охлаждённая рыба, мороженная рыба, филе сельди, прочее мясо сельди;</w:t>
      </w:r>
      <w:r w:rsidR="0077602A">
        <w:rPr>
          <w:rFonts w:ascii="Times New Roman" w:hAnsi="Times New Roman"/>
          <w:sz w:val="28"/>
          <w:szCs w:val="28"/>
        </w:rPr>
        <w:t xml:space="preserve"> 2) </w:t>
      </w:r>
      <w:r w:rsidR="0077602A" w:rsidRPr="009B1591">
        <w:rPr>
          <w:rFonts w:ascii="Times New Roman" w:hAnsi="Times New Roman"/>
          <w:sz w:val="28"/>
          <w:szCs w:val="28"/>
        </w:rPr>
        <w:t>оценка о</w:t>
      </w:r>
      <w:r w:rsidR="0077602A">
        <w:rPr>
          <w:rFonts w:ascii="Times New Roman" w:hAnsi="Times New Roman"/>
          <w:sz w:val="28"/>
          <w:szCs w:val="28"/>
        </w:rPr>
        <w:t xml:space="preserve">бщего состояния популяций водных биоресурсов </w:t>
      </w:r>
      <w:r w:rsidR="0077602A" w:rsidRPr="009B1591">
        <w:rPr>
          <w:rFonts w:ascii="Times New Roman" w:hAnsi="Times New Roman"/>
          <w:sz w:val="28"/>
          <w:szCs w:val="28"/>
        </w:rPr>
        <w:t xml:space="preserve"> в мире и в Ро</w:t>
      </w:r>
      <w:r w:rsidR="0077602A">
        <w:rPr>
          <w:rFonts w:ascii="Times New Roman" w:hAnsi="Times New Roman"/>
          <w:sz w:val="28"/>
          <w:szCs w:val="28"/>
        </w:rPr>
        <w:t xml:space="preserve">ссии и прогнозируемое ОДУ на водные биоресурсы </w:t>
      </w:r>
      <w:r w:rsidR="0077602A" w:rsidRPr="009B1591">
        <w:rPr>
          <w:rFonts w:ascii="Times New Roman" w:hAnsi="Times New Roman"/>
          <w:sz w:val="28"/>
          <w:szCs w:val="28"/>
        </w:rPr>
        <w:t xml:space="preserve"> в России и за рубежом;</w:t>
      </w:r>
      <w:r w:rsidR="0077602A">
        <w:rPr>
          <w:rFonts w:ascii="Times New Roman" w:hAnsi="Times New Roman"/>
          <w:sz w:val="28"/>
          <w:szCs w:val="28"/>
        </w:rPr>
        <w:t xml:space="preserve"> 3) </w:t>
      </w:r>
      <w:r w:rsidR="0077602A" w:rsidRPr="009B1591">
        <w:rPr>
          <w:rFonts w:ascii="Times New Roman" w:hAnsi="Times New Roman"/>
          <w:sz w:val="28"/>
          <w:szCs w:val="28"/>
        </w:rPr>
        <w:t>соотношение отпускной и опт</w:t>
      </w:r>
      <w:r w:rsidR="0077602A">
        <w:rPr>
          <w:rFonts w:ascii="Times New Roman" w:hAnsi="Times New Roman"/>
          <w:sz w:val="28"/>
          <w:szCs w:val="28"/>
        </w:rPr>
        <w:t xml:space="preserve">овой цены на продукцию на отечественную </w:t>
      </w:r>
      <w:proofErr w:type="spellStart"/>
      <w:r w:rsidR="0077602A">
        <w:rPr>
          <w:rFonts w:ascii="Times New Roman" w:hAnsi="Times New Roman"/>
          <w:sz w:val="28"/>
          <w:szCs w:val="28"/>
        </w:rPr>
        <w:t>рыбопродукцию</w:t>
      </w:r>
      <w:proofErr w:type="spellEnd"/>
      <w:r w:rsidR="0077602A">
        <w:rPr>
          <w:rFonts w:ascii="Times New Roman" w:hAnsi="Times New Roman"/>
          <w:sz w:val="28"/>
          <w:szCs w:val="28"/>
        </w:rPr>
        <w:t xml:space="preserve"> и величину</w:t>
      </w:r>
      <w:r w:rsidR="00696158">
        <w:rPr>
          <w:rFonts w:ascii="Times New Roman" w:hAnsi="Times New Roman"/>
          <w:sz w:val="28"/>
          <w:szCs w:val="28"/>
        </w:rPr>
        <w:t xml:space="preserve"> дистрибью</w:t>
      </w:r>
      <w:r w:rsidR="0077602A" w:rsidRPr="009B1591">
        <w:rPr>
          <w:rFonts w:ascii="Times New Roman" w:hAnsi="Times New Roman"/>
          <w:sz w:val="28"/>
          <w:szCs w:val="28"/>
        </w:rPr>
        <w:t>торской и торговой наценки;</w:t>
      </w:r>
      <w:r w:rsidR="0077602A">
        <w:rPr>
          <w:rFonts w:ascii="Times New Roman" w:hAnsi="Times New Roman"/>
          <w:sz w:val="28"/>
          <w:szCs w:val="28"/>
        </w:rPr>
        <w:t xml:space="preserve"> 4) </w:t>
      </w:r>
      <w:r w:rsidR="0077602A" w:rsidRPr="009B1591">
        <w:rPr>
          <w:rFonts w:ascii="Times New Roman" w:hAnsi="Times New Roman"/>
          <w:sz w:val="28"/>
          <w:szCs w:val="28"/>
        </w:rPr>
        <w:t>календарь промысла российских и зарубежных рыбаков и календарь закупок оптовиков и переработчиков.</w:t>
      </w:r>
    </w:p>
    <w:p w14:paraId="583E7020" w14:textId="4E014C40" w:rsidR="0077602A" w:rsidRDefault="0042151D" w:rsidP="00D116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60D49">
        <w:rPr>
          <w:rFonts w:ascii="Times New Roman" w:hAnsi="Times New Roman"/>
          <w:sz w:val="28"/>
          <w:szCs w:val="28"/>
        </w:rPr>
        <w:t xml:space="preserve">.3. Необходимым условием повышения объёма производства продукции с высокой степенью переработки является финансовая стабильность отрасли. Учитывая </w:t>
      </w:r>
      <w:proofErr w:type="spellStart"/>
      <w:r w:rsidR="00960D49">
        <w:rPr>
          <w:rFonts w:ascii="Times New Roman" w:hAnsi="Times New Roman"/>
          <w:sz w:val="28"/>
          <w:szCs w:val="28"/>
        </w:rPr>
        <w:t>вовлечённость</w:t>
      </w:r>
      <w:proofErr w:type="spellEnd"/>
      <w:r w:rsidR="00960D49">
        <w:rPr>
          <w:rFonts w:ascii="Times New Roman" w:hAnsi="Times New Roman"/>
          <w:sz w:val="28"/>
          <w:szCs w:val="28"/>
        </w:rPr>
        <w:t xml:space="preserve"> рыбной отрасли в мировой рын</w:t>
      </w:r>
      <w:r w:rsidR="000855ED">
        <w:rPr>
          <w:rFonts w:ascii="Times New Roman" w:hAnsi="Times New Roman"/>
          <w:sz w:val="28"/>
          <w:szCs w:val="28"/>
        </w:rPr>
        <w:t>о</w:t>
      </w:r>
      <w:r w:rsidR="00960D49">
        <w:rPr>
          <w:rFonts w:ascii="Times New Roman" w:hAnsi="Times New Roman"/>
          <w:sz w:val="28"/>
          <w:szCs w:val="28"/>
        </w:rPr>
        <w:t xml:space="preserve">к, </w:t>
      </w:r>
      <w:r w:rsidR="000855ED">
        <w:rPr>
          <w:rFonts w:ascii="Times New Roman" w:hAnsi="Times New Roman"/>
          <w:sz w:val="28"/>
          <w:szCs w:val="28"/>
        </w:rPr>
        <w:t>для повышения финансовой эффекти</w:t>
      </w:r>
      <w:r w:rsidR="00696158">
        <w:rPr>
          <w:rFonts w:ascii="Times New Roman" w:hAnsi="Times New Roman"/>
          <w:sz w:val="28"/>
          <w:szCs w:val="28"/>
        </w:rPr>
        <w:t>в</w:t>
      </w:r>
      <w:r w:rsidR="000855ED">
        <w:rPr>
          <w:rFonts w:ascii="Times New Roman" w:hAnsi="Times New Roman"/>
          <w:sz w:val="28"/>
          <w:szCs w:val="28"/>
        </w:rPr>
        <w:t>ности работы предприятий необходимы к</w:t>
      </w:r>
      <w:r w:rsidR="0077602A">
        <w:rPr>
          <w:rFonts w:ascii="Times New Roman" w:hAnsi="Times New Roman"/>
          <w:sz w:val="28"/>
          <w:szCs w:val="28"/>
        </w:rPr>
        <w:t xml:space="preserve">оординация внешнеэкономической деятельности российских рыбодобывающих предприятий на внешних рынках и политика российских ведомств, направленная на </w:t>
      </w:r>
      <w:r w:rsidR="00425B54">
        <w:rPr>
          <w:rFonts w:ascii="Times New Roman" w:hAnsi="Times New Roman"/>
          <w:sz w:val="28"/>
          <w:szCs w:val="28"/>
        </w:rPr>
        <w:t>ликвидацию иностранных закупочных картелей, устранение дискриминационных барьеров в международной торговле для российских предприятий и выявление скрытых государственных субсидий для производителей импо</w:t>
      </w:r>
      <w:r w:rsidR="000855ED">
        <w:rPr>
          <w:rFonts w:ascii="Times New Roman" w:hAnsi="Times New Roman"/>
          <w:sz w:val="28"/>
          <w:szCs w:val="28"/>
        </w:rPr>
        <w:t xml:space="preserve">ртной </w:t>
      </w:r>
      <w:proofErr w:type="spellStart"/>
      <w:r w:rsidR="000855ED">
        <w:rPr>
          <w:rFonts w:ascii="Times New Roman" w:hAnsi="Times New Roman"/>
          <w:sz w:val="28"/>
          <w:szCs w:val="28"/>
        </w:rPr>
        <w:t>рыбопродукции</w:t>
      </w:r>
      <w:proofErr w:type="spellEnd"/>
      <w:r w:rsidR="000855ED">
        <w:rPr>
          <w:rFonts w:ascii="Times New Roman" w:hAnsi="Times New Roman"/>
          <w:sz w:val="28"/>
          <w:szCs w:val="28"/>
        </w:rPr>
        <w:t xml:space="preserve"> в рамках реализации Плана адаптации российской экономики к правилам ВТО. </w:t>
      </w:r>
    </w:p>
    <w:p w14:paraId="78B5AA62" w14:textId="7E03C80C" w:rsidR="0042151D" w:rsidRDefault="0042151D" w:rsidP="00D116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Государственная программа «Развитие </w:t>
      </w:r>
      <w:proofErr w:type="spellStart"/>
      <w:r>
        <w:rPr>
          <w:rFonts w:ascii="Times New Roman" w:hAnsi="Times New Roman"/>
          <w:sz w:val="28"/>
          <w:szCs w:val="28"/>
        </w:rPr>
        <w:t>рыбохозяйственного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комплекса Российской Федерации» не в полной мере отражает приоритеты развития отрасли, не обеспечивает системное и долгосрочное финансирование перспективных направлений развития (прежде всего, </w:t>
      </w:r>
      <w:proofErr w:type="spellStart"/>
      <w:r>
        <w:rPr>
          <w:rFonts w:ascii="Times New Roman" w:hAnsi="Times New Roman"/>
          <w:sz w:val="28"/>
          <w:szCs w:val="28"/>
        </w:rPr>
        <w:t>аквакультурного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производства). </w:t>
      </w:r>
    </w:p>
    <w:p w14:paraId="0A47C2AB" w14:textId="6BF6A9D4" w:rsidR="0042151D" w:rsidRDefault="0042151D" w:rsidP="00D116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5.5. </w:t>
      </w:r>
      <w:r w:rsidR="00D8125C">
        <w:rPr>
          <w:rFonts w:ascii="Times New Roman" w:hAnsi="Times New Roman"/>
          <w:sz w:val="28"/>
          <w:szCs w:val="28"/>
        </w:rPr>
        <w:t xml:space="preserve">Российский рынок </w:t>
      </w:r>
      <w:proofErr w:type="spellStart"/>
      <w:r w:rsidR="00D8125C">
        <w:rPr>
          <w:rFonts w:ascii="Times New Roman" w:hAnsi="Times New Roman"/>
          <w:sz w:val="28"/>
          <w:szCs w:val="28"/>
        </w:rPr>
        <w:t>рыбопродукции</w:t>
      </w:r>
      <w:proofErr w:type="spellEnd"/>
      <w:r w:rsidR="00D8125C">
        <w:rPr>
          <w:rFonts w:ascii="Times New Roman" w:hAnsi="Times New Roman"/>
          <w:sz w:val="28"/>
          <w:szCs w:val="28"/>
        </w:rPr>
        <w:t xml:space="preserve"> испытывает значительный неудовлетворённый спрос на филе из рыб. Анализ таможенной статистики показывает взрывной рост поставок филе из-за рубежа в период с 2004 по 2008 годы и резкое падение указанных поставок из-за снижения производства по причине природно-климатических и экономических факторов. </w:t>
      </w:r>
    </w:p>
    <w:p w14:paraId="21F6832A" w14:textId="77777777" w:rsidR="00E5048F" w:rsidRPr="00E5048F" w:rsidRDefault="00E5048F" w:rsidP="00E50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proofErr w:type="spellStart"/>
      <w:proofErr w:type="gram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Российский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рыбный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рынок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пока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очень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инерционен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.</w:t>
      </w:r>
      <w:proofErr w:type="gram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Производственные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активы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отрасли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сопротивляются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изменениям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выходящим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за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рамки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их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сложившегося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устройства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.</w:t>
      </w:r>
      <w:proofErr w:type="gram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Производственные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процессы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отрасли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по-прежнему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нуждаются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в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привычной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сырьевой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базе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, в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том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числе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импортной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.</w:t>
      </w:r>
      <w:proofErr w:type="gramEnd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Возникновение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новых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сегментов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на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российском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рыбном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рынке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вполне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реально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.</w:t>
      </w:r>
      <w:proofErr w:type="gram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Для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аквакультурной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рыбы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эти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шансы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предпочтительнее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.</w:t>
      </w:r>
      <w:proofErr w:type="gram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Поэтому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есть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реальная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возможность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собрать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прибыльный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кластер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из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уникальных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географических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природных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и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научных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кубиков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которые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сейчас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рассыпаны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в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беспорядке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.</w:t>
      </w:r>
      <w:proofErr w:type="gram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За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каждым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быстрорастущим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рынком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стоит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мощный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союз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государственных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регуляторов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и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крупных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бизнес-объединений</w:t>
      </w:r>
      <w:proofErr w:type="spellEnd"/>
      <w:r w:rsidRPr="00E5048F">
        <w:rPr>
          <w:rFonts w:ascii="Times New Roman" w:eastAsiaTheme="minorEastAsia" w:hAnsi="Times New Roman"/>
          <w:sz w:val="28"/>
          <w:szCs w:val="28"/>
          <w:lang w:val="en-US" w:eastAsia="ru-RU"/>
        </w:rPr>
        <w:t>.</w:t>
      </w:r>
      <w:proofErr w:type="gramEnd"/>
    </w:p>
    <w:p w14:paraId="0912A818" w14:textId="77777777" w:rsidR="00E5048F" w:rsidRPr="009B1591" w:rsidRDefault="00E5048F" w:rsidP="00E5048F">
      <w:pPr>
        <w:spacing w:after="10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90FBD40" w14:textId="5BDBFFF0" w:rsidR="00E5048F" w:rsidRDefault="00E5048F" w:rsidP="00D116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A1BC4CB" w14:textId="77777777" w:rsidR="00D8125C" w:rsidRPr="009B1591" w:rsidRDefault="00D8125C" w:rsidP="00D116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F48D210" w14:textId="77777777" w:rsidR="00DB70BC" w:rsidRPr="00D92C2C" w:rsidRDefault="00DB70BC" w:rsidP="00425B54">
      <w:pPr>
        <w:spacing w:after="10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DB70BC" w:rsidRPr="00D92C2C" w:rsidSect="00A55AAF">
      <w:headerReference w:type="even" r:id="rId19"/>
      <w:headerReference w:type="default" r:id="rId20"/>
      <w:footerReference w:type="even" r:id="rId21"/>
      <w:footerReference w:type="default" r:id="rId22"/>
      <w:pgSz w:w="11900" w:h="16840"/>
      <w:pgMar w:top="1418" w:right="987" w:bottom="1134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7B18C" w14:textId="77777777" w:rsidR="00CB21B7" w:rsidRDefault="00CB21B7" w:rsidP="00425B54">
      <w:pPr>
        <w:spacing w:after="0" w:line="240" w:lineRule="auto"/>
      </w:pPr>
      <w:r>
        <w:separator/>
      </w:r>
    </w:p>
  </w:endnote>
  <w:endnote w:type="continuationSeparator" w:id="0">
    <w:p w14:paraId="120812A5" w14:textId="77777777" w:rsidR="00CB21B7" w:rsidRDefault="00CB21B7" w:rsidP="0042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B1201" w14:textId="77777777" w:rsidR="00D8125C" w:rsidRDefault="00D8125C" w:rsidP="0042151D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875F97" w14:textId="77777777" w:rsidR="00D8125C" w:rsidRDefault="00D8125C" w:rsidP="00DF4F32">
    <w:pPr>
      <w:pStyle w:val="ab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62707" w14:textId="77777777" w:rsidR="00D8125C" w:rsidRDefault="00D8125C" w:rsidP="0042151D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56208">
      <w:rPr>
        <w:rStyle w:val="a8"/>
        <w:noProof/>
      </w:rPr>
      <w:t>18</w:t>
    </w:r>
    <w:r>
      <w:rPr>
        <w:rStyle w:val="a8"/>
      </w:rPr>
      <w:fldChar w:fldCharType="end"/>
    </w:r>
  </w:p>
  <w:p w14:paraId="6B7A4000" w14:textId="77777777" w:rsidR="00D8125C" w:rsidRDefault="00D8125C" w:rsidP="00DF4F3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2EE1A" w14:textId="77777777" w:rsidR="00CB21B7" w:rsidRDefault="00CB21B7" w:rsidP="00425B54">
      <w:pPr>
        <w:spacing w:after="0" w:line="240" w:lineRule="auto"/>
      </w:pPr>
      <w:r>
        <w:separator/>
      </w:r>
    </w:p>
  </w:footnote>
  <w:footnote w:type="continuationSeparator" w:id="0">
    <w:p w14:paraId="6DA82861" w14:textId="77777777" w:rsidR="00CB21B7" w:rsidRDefault="00CB21B7" w:rsidP="0042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6797B" w14:textId="77777777" w:rsidR="00D8125C" w:rsidRDefault="00256208">
    <w:pPr>
      <w:pStyle w:val="a6"/>
    </w:pPr>
    <w:sdt>
      <w:sdtPr>
        <w:id w:val="171999623"/>
        <w:placeholder>
          <w:docPart w:val="74451C094DDC95408B75364777F6C9E0"/>
        </w:placeholder>
        <w:temporary/>
        <w:showingPlcHdr/>
      </w:sdtPr>
      <w:sdtEndPr/>
      <w:sdtContent>
        <w:r w:rsidR="00D8125C">
          <w:t>[Введите текст]</w:t>
        </w:r>
      </w:sdtContent>
    </w:sdt>
    <w:r w:rsidR="00D8125C">
      <w:ptab w:relativeTo="margin" w:alignment="center" w:leader="none"/>
    </w:r>
    <w:sdt>
      <w:sdtPr>
        <w:id w:val="171999624"/>
        <w:placeholder>
          <w:docPart w:val="94629FAD3E7C6542A7F591E9CACA6853"/>
        </w:placeholder>
        <w:temporary/>
        <w:showingPlcHdr/>
      </w:sdtPr>
      <w:sdtEndPr/>
      <w:sdtContent>
        <w:r w:rsidR="00D8125C">
          <w:t>[Введите текст]</w:t>
        </w:r>
      </w:sdtContent>
    </w:sdt>
    <w:r w:rsidR="00D8125C">
      <w:ptab w:relativeTo="margin" w:alignment="right" w:leader="none"/>
    </w:r>
    <w:sdt>
      <w:sdtPr>
        <w:id w:val="171999625"/>
        <w:placeholder>
          <w:docPart w:val="5E5F8A0E3BE6DA4CA9186E4BA854F270"/>
        </w:placeholder>
        <w:temporary/>
        <w:showingPlcHdr/>
      </w:sdtPr>
      <w:sdtEndPr/>
      <w:sdtContent>
        <w:r w:rsidR="00D8125C">
          <w:t>[Введите текст]</w:t>
        </w:r>
      </w:sdtContent>
    </w:sdt>
  </w:p>
  <w:p w14:paraId="1E818785" w14:textId="77777777" w:rsidR="00D8125C" w:rsidRDefault="00D8125C" w:rsidP="00425B54">
    <w:pPr>
      <w:pStyle w:val="a6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F0B8D" w14:textId="389688D3" w:rsidR="00D8125C" w:rsidRPr="00696158" w:rsidRDefault="00D8125C" w:rsidP="00A55AAF">
    <w:pPr>
      <w:pStyle w:val="a"/>
      <w:keepNext/>
      <w:numPr>
        <w:ilvl w:val="0"/>
        <w:numId w:val="0"/>
      </w:numPr>
      <w:spacing w:after="0"/>
      <w:rPr>
        <w:rFonts w:asciiTheme="majorHAnsi" w:hAnsiTheme="majorHAnsi" w:cs="Calibri"/>
        <w:i/>
        <w:color w:val="365F91"/>
        <w:sz w:val="18"/>
        <w:szCs w:val="18"/>
        <w:lang w:val="ru-RU"/>
      </w:rPr>
    </w:pPr>
    <w:r w:rsidRPr="00696158">
      <w:rPr>
        <w:rFonts w:asciiTheme="majorHAnsi" w:hAnsiTheme="majorHAnsi" w:cs="Calibri"/>
        <w:i/>
        <w:color w:val="365F91"/>
        <w:sz w:val="18"/>
        <w:szCs w:val="18"/>
        <w:lang w:val="ru-RU"/>
      </w:rPr>
      <w:t>Комисси</w:t>
    </w:r>
    <w:r w:rsidRPr="00696158">
      <w:rPr>
        <w:rFonts w:asciiTheme="majorHAnsi" w:hAnsiTheme="majorHAnsi"/>
        <w:i/>
        <w:color w:val="365F91"/>
        <w:sz w:val="18"/>
        <w:szCs w:val="18"/>
        <w:lang w:val="ru-RU"/>
      </w:rPr>
      <w:t xml:space="preserve">я </w:t>
    </w:r>
    <w:r w:rsidRPr="00696158">
      <w:rPr>
        <w:rFonts w:asciiTheme="majorHAnsi" w:hAnsiTheme="majorHAnsi" w:cs="Calibri"/>
        <w:i/>
        <w:color w:val="365F91"/>
        <w:sz w:val="18"/>
        <w:szCs w:val="18"/>
        <w:lang w:val="ru-RU"/>
      </w:rPr>
      <w:t xml:space="preserve">РСПП по </w:t>
    </w:r>
    <w:r w:rsidRPr="00696158">
      <w:rPr>
        <w:rFonts w:asciiTheme="majorHAnsi" w:hAnsiTheme="majorHAnsi"/>
        <w:i/>
        <w:color w:val="365F91"/>
        <w:sz w:val="18"/>
        <w:szCs w:val="18"/>
        <w:lang w:val="ru-RU"/>
      </w:rPr>
      <w:t xml:space="preserve">рыбному хозяйству и </w:t>
    </w:r>
    <w:proofErr w:type="spellStart"/>
    <w:r w:rsidRPr="00696158">
      <w:rPr>
        <w:rFonts w:asciiTheme="majorHAnsi" w:hAnsiTheme="majorHAnsi"/>
        <w:i/>
        <w:color w:val="365F91"/>
        <w:sz w:val="18"/>
        <w:szCs w:val="18"/>
        <w:lang w:val="ru-RU"/>
      </w:rPr>
      <w:t>аквакультуре</w:t>
    </w:r>
    <w:proofErr w:type="spellEnd"/>
    <w:r w:rsidRPr="00696158">
      <w:rPr>
        <w:rFonts w:asciiTheme="majorHAnsi" w:hAnsiTheme="majorHAnsi"/>
        <w:i/>
        <w:color w:val="365F91"/>
        <w:sz w:val="18"/>
        <w:szCs w:val="18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45D"/>
    <w:multiLevelType w:val="multilevel"/>
    <w:tmpl w:val="FDB2444A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-"/>
      <w:lvlJc w:val="left"/>
      <w:pPr>
        <w:tabs>
          <w:tab w:val="num" w:pos="720"/>
        </w:tabs>
        <w:ind w:left="720" w:hanging="720"/>
      </w:pPr>
    </w:lvl>
    <w:lvl w:ilvl="4">
      <w:start w:val="1"/>
      <w:numFmt w:val="none"/>
      <w:lvlRestart w:val="0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pStyle w:val="a"/>
      <w:suff w:val="nothing"/>
      <w:lvlText w:val="%6"/>
      <w:lvlJc w:val="left"/>
      <w:pPr>
        <w:ind w:left="0" w:firstLine="0"/>
      </w:pPr>
    </w:lvl>
    <w:lvl w:ilvl="6">
      <w:start w:val="1"/>
      <w:numFmt w:val="none"/>
      <w:lvlRestart w:val="0"/>
      <w:pStyle w:val="20"/>
      <w:lvlText w:val="-"/>
      <w:lvlJc w:val="left"/>
      <w:pPr>
        <w:tabs>
          <w:tab w:val="num" w:pos="1440"/>
        </w:tabs>
        <w:ind w:left="1440" w:hanging="720"/>
      </w:pPr>
    </w:lvl>
    <w:lvl w:ilvl="7">
      <w:start w:val="1"/>
      <w:numFmt w:val="none"/>
      <w:lvlRestart w:val="0"/>
      <w:pStyle w:val="30"/>
      <w:lvlText w:val="-"/>
      <w:lvlJc w:val="left"/>
      <w:pPr>
        <w:tabs>
          <w:tab w:val="num" w:pos="2160"/>
        </w:tabs>
        <w:ind w:left="2160" w:hanging="720"/>
      </w:pPr>
    </w:lvl>
    <w:lvl w:ilvl="8">
      <w:start w:val="1"/>
      <w:numFmt w:val="none"/>
      <w:lvlRestart w:val="0"/>
      <w:pStyle w:val="BodyText4"/>
      <w:lvlText w:val="-"/>
      <w:lvlJc w:val="left"/>
      <w:pPr>
        <w:tabs>
          <w:tab w:val="num" w:pos="2880"/>
        </w:tabs>
        <w:ind w:left="28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6E"/>
    <w:rsid w:val="000855ED"/>
    <w:rsid w:val="000A6C9F"/>
    <w:rsid w:val="000C4CC4"/>
    <w:rsid w:val="000C7144"/>
    <w:rsid w:val="000E411F"/>
    <w:rsid w:val="00143B7B"/>
    <w:rsid w:val="00151CD5"/>
    <w:rsid w:val="00161630"/>
    <w:rsid w:val="00184874"/>
    <w:rsid w:val="001B148A"/>
    <w:rsid w:val="00256208"/>
    <w:rsid w:val="00285BEA"/>
    <w:rsid w:val="00347A4C"/>
    <w:rsid w:val="00394198"/>
    <w:rsid w:val="0042151D"/>
    <w:rsid w:val="00425B54"/>
    <w:rsid w:val="00433DB5"/>
    <w:rsid w:val="004B6991"/>
    <w:rsid w:val="0052568A"/>
    <w:rsid w:val="00536364"/>
    <w:rsid w:val="0053656E"/>
    <w:rsid w:val="00550DEB"/>
    <w:rsid w:val="0056649A"/>
    <w:rsid w:val="0057744A"/>
    <w:rsid w:val="005822C0"/>
    <w:rsid w:val="00586CB6"/>
    <w:rsid w:val="005A18E2"/>
    <w:rsid w:val="00602799"/>
    <w:rsid w:val="00610BB2"/>
    <w:rsid w:val="00674557"/>
    <w:rsid w:val="006831DD"/>
    <w:rsid w:val="00696158"/>
    <w:rsid w:val="006C460D"/>
    <w:rsid w:val="006D3BE6"/>
    <w:rsid w:val="006E56BF"/>
    <w:rsid w:val="0070785D"/>
    <w:rsid w:val="00732361"/>
    <w:rsid w:val="0077602A"/>
    <w:rsid w:val="007C080B"/>
    <w:rsid w:val="00811822"/>
    <w:rsid w:val="008B3495"/>
    <w:rsid w:val="008E4A88"/>
    <w:rsid w:val="008F7381"/>
    <w:rsid w:val="00947CE2"/>
    <w:rsid w:val="00960D49"/>
    <w:rsid w:val="00973679"/>
    <w:rsid w:val="009A597E"/>
    <w:rsid w:val="009B1591"/>
    <w:rsid w:val="00A079E4"/>
    <w:rsid w:val="00A23EAA"/>
    <w:rsid w:val="00A55AAF"/>
    <w:rsid w:val="00A703C0"/>
    <w:rsid w:val="00A818E2"/>
    <w:rsid w:val="00A926C5"/>
    <w:rsid w:val="00BC79F7"/>
    <w:rsid w:val="00BF2F1E"/>
    <w:rsid w:val="00C1648F"/>
    <w:rsid w:val="00C17983"/>
    <w:rsid w:val="00C45B0F"/>
    <w:rsid w:val="00C67987"/>
    <w:rsid w:val="00CA795D"/>
    <w:rsid w:val="00CB21B7"/>
    <w:rsid w:val="00CB4454"/>
    <w:rsid w:val="00D1166B"/>
    <w:rsid w:val="00D240EE"/>
    <w:rsid w:val="00D424AB"/>
    <w:rsid w:val="00D440AD"/>
    <w:rsid w:val="00D47A68"/>
    <w:rsid w:val="00D7254F"/>
    <w:rsid w:val="00D8125C"/>
    <w:rsid w:val="00D92C2C"/>
    <w:rsid w:val="00DB09CC"/>
    <w:rsid w:val="00DB70BC"/>
    <w:rsid w:val="00DC2DD2"/>
    <w:rsid w:val="00DD4A23"/>
    <w:rsid w:val="00DF4F32"/>
    <w:rsid w:val="00E06C93"/>
    <w:rsid w:val="00E5048F"/>
    <w:rsid w:val="00EA4551"/>
    <w:rsid w:val="00FB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C595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6E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0"/>
    <w:next w:val="2"/>
    <w:link w:val="10"/>
    <w:uiPriority w:val="2"/>
    <w:qFormat/>
    <w:rsid w:val="006C460D"/>
    <w:pPr>
      <w:keepNext/>
      <w:numPr>
        <w:numId w:val="1"/>
      </w:numPr>
      <w:tabs>
        <w:tab w:val="left" w:pos="720"/>
      </w:tabs>
      <w:spacing w:after="240" w:line="240" w:lineRule="auto"/>
      <w:jc w:val="both"/>
      <w:outlineLvl w:val="0"/>
    </w:pPr>
    <w:rPr>
      <w:rFonts w:ascii="Times New Roman" w:eastAsia="Times New Roman" w:hAnsi="Times New Roman"/>
      <w:b/>
      <w:caps/>
      <w:szCs w:val="20"/>
      <w:lang w:val="en-GB" w:eastAsia="x-none" w:bidi="ru-RU"/>
    </w:rPr>
  </w:style>
  <w:style w:type="paragraph" w:styleId="2">
    <w:name w:val="heading 2"/>
    <w:basedOn w:val="a0"/>
    <w:next w:val="3"/>
    <w:link w:val="21"/>
    <w:uiPriority w:val="2"/>
    <w:qFormat/>
    <w:rsid w:val="006C460D"/>
    <w:pPr>
      <w:keepNext/>
      <w:numPr>
        <w:ilvl w:val="1"/>
        <w:numId w:val="1"/>
      </w:numPr>
      <w:tabs>
        <w:tab w:val="left" w:pos="720"/>
      </w:tabs>
      <w:spacing w:after="240" w:line="240" w:lineRule="auto"/>
      <w:jc w:val="both"/>
      <w:outlineLvl w:val="1"/>
    </w:pPr>
    <w:rPr>
      <w:rFonts w:ascii="Times New Roman" w:eastAsia="Times New Roman" w:hAnsi="Times New Roman"/>
      <w:b/>
      <w:szCs w:val="20"/>
      <w:lang w:val="en-GB" w:eastAsia="x-none" w:bidi="ru-RU"/>
    </w:rPr>
  </w:style>
  <w:style w:type="paragraph" w:styleId="3">
    <w:name w:val="heading 3"/>
    <w:basedOn w:val="a0"/>
    <w:next w:val="4"/>
    <w:link w:val="31"/>
    <w:uiPriority w:val="2"/>
    <w:qFormat/>
    <w:rsid w:val="006C460D"/>
    <w:pPr>
      <w:keepNext/>
      <w:numPr>
        <w:ilvl w:val="2"/>
        <w:numId w:val="1"/>
      </w:numPr>
      <w:tabs>
        <w:tab w:val="left" w:pos="720"/>
      </w:tabs>
      <w:spacing w:after="240" w:line="240" w:lineRule="auto"/>
      <w:jc w:val="both"/>
      <w:outlineLvl w:val="2"/>
    </w:pPr>
    <w:rPr>
      <w:rFonts w:ascii="Times New Roman" w:eastAsia="Times New Roman" w:hAnsi="Times New Roman"/>
      <w:b/>
      <w:szCs w:val="20"/>
      <w:lang w:val="en-GB" w:eastAsia="x-none" w:bidi="ru-RU"/>
    </w:rPr>
  </w:style>
  <w:style w:type="paragraph" w:styleId="4">
    <w:name w:val="heading 4"/>
    <w:basedOn w:val="a0"/>
    <w:next w:val="a0"/>
    <w:link w:val="40"/>
    <w:uiPriority w:val="2"/>
    <w:qFormat/>
    <w:rsid w:val="006C460D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/>
      <w:b/>
      <w:szCs w:val="20"/>
      <w:lang w:val="en-GB" w:eastAsia="x-none" w:bidi="ru-RU"/>
    </w:rPr>
  </w:style>
  <w:style w:type="paragraph" w:styleId="5">
    <w:name w:val="heading 5"/>
    <w:basedOn w:val="a0"/>
    <w:next w:val="a0"/>
    <w:link w:val="50"/>
    <w:uiPriority w:val="2"/>
    <w:qFormat/>
    <w:rsid w:val="006C460D"/>
    <w:pPr>
      <w:keepNext/>
      <w:numPr>
        <w:ilvl w:val="4"/>
        <w:numId w:val="1"/>
      </w:numPr>
      <w:spacing w:after="240" w:line="240" w:lineRule="auto"/>
      <w:jc w:val="both"/>
      <w:outlineLvl w:val="4"/>
    </w:pPr>
    <w:rPr>
      <w:rFonts w:ascii="Times New Roman" w:eastAsia="Times New Roman" w:hAnsi="Times New Roman"/>
      <w:b/>
      <w:szCs w:val="20"/>
      <w:lang w:val="en-GB" w:eastAsia="x-none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A23EAA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A23EAA"/>
    <w:rPr>
      <w:rFonts w:ascii="Lucida Grande CY" w:eastAsia="Calibri" w:hAnsi="Lucida Grande CY" w:cs="Lucida Grande CY"/>
      <w:sz w:val="18"/>
      <w:szCs w:val="18"/>
      <w:lang w:eastAsia="en-US"/>
    </w:rPr>
  </w:style>
  <w:style w:type="paragraph" w:styleId="a6">
    <w:name w:val="header"/>
    <w:basedOn w:val="a0"/>
    <w:link w:val="a7"/>
    <w:uiPriority w:val="99"/>
    <w:unhideWhenUsed/>
    <w:rsid w:val="00425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425B54"/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page number"/>
    <w:basedOn w:val="a1"/>
    <w:uiPriority w:val="99"/>
    <w:semiHidden/>
    <w:unhideWhenUsed/>
    <w:rsid w:val="00425B54"/>
  </w:style>
  <w:style w:type="character" w:customStyle="1" w:styleId="10">
    <w:name w:val="Заголовок 1 Знак"/>
    <w:basedOn w:val="a1"/>
    <w:link w:val="1"/>
    <w:uiPriority w:val="2"/>
    <w:rsid w:val="006C460D"/>
    <w:rPr>
      <w:rFonts w:ascii="Times New Roman" w:eastAsia="Times New Roman" w:hAnsi="Times New Roman" w:cs="Times New Roman"/>
      <w:b/>
      <w:caps/>
      <w:sz w:val="22"/>
      <w:szCs w:val="20"/>
      <w:lang w:val="en-GB" w:eastAsia="x-none" w:bidi="ru-RU"/>
    </w:rPr>
  </w:style>
  <w:style w:type="character" w:customStyle="1" w:styleId="21">
    <w:name w:val="Заголовок 2 Знак"/>
    <w:basedOn w:val="a1"/>
    <w:link w:val="2"/>
    <w:uiPriority w:val="2"/>
    <w:rsid w:val="006C460D"/>
    <w:rPr>
      <w:rFonts w:ascii="Times New Roman" w:eastAsia="Times New Roman" w:hAnsi="Times New Roman" w:cs="Times New Roman"/>
      <w:b/>
      <w:sz w:val="22"/>
      <w:szCs w:val="20"/>
      <w:lang w:val="en-GB" w:eastAsia="x-none" w:bidi="ru-RU"/>
    </w:rPr>
  </w:style>
  <w:style w:type="character" w:customStyle="1" w:styleId="31">
    <w:name w:val="Заголовок 3 Знак"/>
    <w:basedOn w:val="a1"/>
    <w:link w:val="3"/>
    <w:uiPriority w:val="2"/>
    <w:rsid w:val="006C460D"/>
    <w:rPr>
      <w:rFonts w:ascii="Times New Roman" w:eastAsia="Times New Roman" w:hAnsi="Times New Roman" w:cs="Times New Roman"/>
      <w:b/>
      <w:sz w:val="22"/>
      <w:szCs w:val="20"/>
      <w:lang w:val="en-GB" w:eastAsia="x-none" w:bidi="ru-RU"/>
    </w:rPr>
  </w:style>
  <w:style w:type="character" w:customStyle="1" w:styleId="40">
    <w:name w:val="Заголовок 4 Знак"/>
    <w:basedOn w:val="a1"/>
    <w:link w:val="4"/>
    <w:uiPriority w:val="2"/>
    <w:rsid w:val="006C460D"/>
    <w:rPr>
      <w:rFonts w:ascii="Times New Roman" w:eastAsia="Times New Roman" w:hAnsi="Times New Roman" w:cs="Times New Roman"/>
      <w:b/>
      <w:sz w:val="22"/>
      <w:szCs w:val="20"/>
      <w:lang w:val="en-GB" w:eastAsia="x-none" w:bidi="ru-RU"/>
    </w:rPr>
  </w:style>
  <w:style w:type="character" w:customStyle="1" w:styleId="50">
    <w:name w:val="Заголовок 5 Знак"/>
    <w:basedOn w:val="a1"/>
    <w:link w:val="5"/>
    <w:uiPriority w:val="2"/>
    <w:rsid w:val="006C460D"/>
    <w:rPr>
      <w:rFonts w:ascii="Times New Roman" w:eastAsia="Times New Roman" w:hAnsi="Times New Roman" w:cs="Times New Roman"/>
      <w:b/>
      <w:sz w:val="22"/>
      <w:szCs w:val="20"/>
      <w:lang w:val="en-GB" w:eastAsia="x-none" w:bidi="ru-RU"/>
    </w:rPr>
  </w:style>
  <w:style w:type="paragraph" w:styleId="a">
    <w:name w:val="Body Text"/>
    <w:aliases w:val="Body Text Char1 Char,Body Text Char Char Char"/>
    <w:basedOn w:val="a0"/>
    <w:link w:val="a9"/>
    <w:rsid w:val="006C460D"/>
    <w:pPr>
      <w:numPr>
        <w:ilvl w:val="5"/>
        <w:numId w:val="1"/>
      </w:numPr>
      <w:spacing w:after="240" w:line="240" w:lineRule="auto"/>
      <w:jc w:val="both"/>
    </w:pPr>
    <w:rPr>
      <w:rFonts w:ascii="Cambria" w:eastAsia="Times New Roman" w:hAnsi="Cambria"/>
      <w:szCs w:val="20"/>
      <w:lang w:val="en-GB" w:eastAsia="ru-RU" w:bidi="ru-RU"/>
    </w:rPr>
  </w:style>
  <w:style w:type="character" w:customStyle="1" w:styleId="a9">
    <w:name w:val="Основной текст Знак"/>
    <w:aliases w:val="Body Text Char1 Char Знак,Body Text Char Char Char Знак"/>
    <w:basedOn w:val="a1"/>
    <w:link w:val="a"/>
    <w:rsid w:val="006C460D"/>
    <w:rPr>
      <w:rFonts w:ascii="Cambria" w:eastAsia="Times New Roman" w:hAnsi="Cambria" w:cs="Times New Roman"/>
      <w:sz w:val="22"/>
      <w:szCs w:val="20"/>
      <w:lang w:val="en-GB" w:bidi="ru-RU"/>
    </w:rPr>
  </w:style>
  <w:style w:type="paragraph" w:styleId="20">
    <w:name w:val="Body Text 2"/>
    <w:basedOn w:val="a0"/>
    <w:link w:val="22"/>
    <w:rsid w:val="006C460D"/>
    <w:pPr>
      <w:numPr>
        <w:ilvl w:val="6"/>
        <w:numId w:val="1"/>
      </w:numPr>
      <w:spacing w:after="240" w:line="240" w:lineRule="auto"/>
      <w:jc w:val="both"/>
    </w:pPr>
    <w:rPr>
      <w:rFonts w:ascii="Times New Roman" w:eastAsia="Times New Roman" w:hAnsi="Times New Roman"/>
      <w:szCs w:val="20"/>
      <w:lang w:val="en-GB" w:eastAsia="x-none" w:bidi="ru-RU"/>
    </w:rPr>
  </w:style>
  <w:style w:type="character" w:customStyle="1" w:styleId="22">
    <w:name w:val="Основной текст 2 Знак"/>
    <w:basedOn w:val="a1"/>
    <w:link w:val="20"/>
    <w:rsid w:val="006C460D"/>
    <w:rPr>
      <w:rFonts w:ascii="Times New Roman" w:eastAsia="Times New Roman" w:hAnsi="Times New Roman" w:cs="Times New Roman"/>
      <w:sz w:val="22"/>
      <w:szCs w:val="20"/>
      <w:lang w:val="en-GB" w:eastAsia="x-none" w:bidi="ru-RU"/>
    </w:rPr>
  </w:style>
  <w:style w:type="paragraph" w:styleId="30">
    <w:name w:val="Body Text 3"/>
    <w:basedOn w:val="a0"/>
    <w:link w:val="32"/>
    <w:rsid w:val="006C460D"/>
    <w:pPr>
      <w:numPr>
        <w:ilvl w:val="7"/>
        <w:numId w:val="1"/>
      </w:numPr>
      <w:spacing w:after="240" w:line="240" w:lineRule="auto"/>
      <w:jc w:val="both"/>
    </w:pPr>
    <w:rPr>
      <w:rFonts w:ascii="Times New Roman" w:eastAsia="Times New Roman" w:hAnsi="Times New Roman"/>
      <w:szCs w:val="20"/>
      <w:lang w:val="en-GB" w:eastAsia="x-none" w:bidi="ru-RU"/>
    </w:rPr>
  </w:style>
  <w:style w:type="character" w:customStyle="1" w:styleId="32">
    <w:name w:val="Основной текст 3 Знак"/>
    <w:basedOn w:val="a1"/>
    <w:link w:val="30"/>
    <w:rsid w:val="006C460D"/>
    <w:rPr>
      <w:rFonts w:ascii="Times New Roman" w:eastAsia="Times New Roman" w:hAnsi="Times New Roman" w:cs="Times New Roman"/>
      <w:sz w:val="22"/>
      <w:szCs w:val="20"/>
      <w:lang w:val="en-GB" w:eastAsia="x-none" w:bidi="ru-RU"/>
    </w:rPr>
  </w:style>
  <w:style w:type="paragraph" w:customStyle="1" w:styleId="BodyText4">
    <w:name w:val="Body Text 4"/>
    <w:basedOn w:val="a0"/>
    <w:rsid w:val="006C460D"/>
    <w:pPr>
      <w:numPr>
        <w:ilvl w:val="8"/>
        <w:numId w:val="1"/>
      </w:num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a">
    <w:name w:val="Strong"/>
    <w:qFormat/>
    <w:rsid w:val="006C460D"/>
    <w:rPr>
      <w:b/>
      <w:bCs/>
    </w:rPr>
  </w:style>
  <w:style w:type="paragraph" w:styleId="ab">
    <w:name w:val="footer"/>
    <w:basedOn w:val="a0"/>
    <w:link w:val="ac"/>
    <w:uiPriority w:val="99"/>
    <w:unhideWhenUsed/>
    <w:rsid w:val="00A55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A55AAF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6E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0"/>
    <w:next w:val="2"/>
    <w:link w:val="10"/>
    <w:uiPriority w:val="2"/>
    <w:qFormat/>
    <w:rsid w:val="006C460D"/>
    <w:pPr>
      <w:keepNext/>
      <w:numPr>
        <w:numId w:val="1"/>
      </w:numPr>
      <w:tabs>
        <w:tab w:val="left" w:pos="720"/>
      </w:tabs>
      <w:spacing w:after="240" w:line="240" w:lineRule="auto"/>
      <w:jc w:val="both"/>
      <w:outlineLvl w:val="0"/>
    </w:pPr>
    <w:rPr>
      <w:rFonts w:ascii="Times New Roman" w:eastAsia="Times New Roman" w:hAnsi="Times New Roman"/>
      <w:b/>
      <w:caps/>
      <w:szCs w:val="20"/>
      <w:lang w:val="en-GB" w:eastAsia="x-none" w:bidi="ru-RU"/>
    </w:rPr>
  </w:style>
  <w:style w:type="paragraph" w:styleId="2">
    <w:name w:val="heading 2"/>
    <w:basedOn w:val="a0"/>
    <w:next w:val="3"/>
    <w:link w:val="21"/>
    <w:uiPriority w:val="2"/>
    <w:qFormat/>
    <w:rsid w:val="006C460D"/>
    <w:pPr>
      <w:keepNext/>
      <w:numPr>
        <w:ilvl w:val="1"/>
        <w:numId w:val="1"/>
      </w:numPr>
      <w:tabs>
        <w:tab w:val="left" w:pos="720"/>
      </w:tabs>
      <w:spacing w:after="240" w:line="240" w:lineRule="auto"/>
      <w:jc w:val="both"/>
      <w:outlineLvl w:val="1"/>
    </w:pPr>
    <w:rPr>
      <w:rFonts w:ascii="Times New Roman" w:eastAsia="Times New Roman" w:hAnsi="Times New Roman"/>
      <w:b/>
      <w:szCs w:val="20"/>
      <w:lang w:val="en-GB" w:eastAsia="x-none" w:bidi="ru-RU"/>
    </w:rPr>
  </w:style>
  <w:style w:type="paragraph" w:styleId="3">
    <w:name w:val="heading 3"/>
    <w:basedOn w:val="a0"/>
    <w:next w:val="4"/>
    <w:link w:val="31"/>
    <w:uiPriority w:val="2"/>
    <w:qFormat/>
    <w:rsid w:val="006C460D"/>
    <w:pPr>
      <w:keepNext/>
      <w:numPr>
        <w:ilvl w:val="2"/>
        <w:numId w:val="1"/>
      </w:numPr>
      <w:tabs>
        <w:tab w:val="left" w:pos="720"/>
      </w:tabs>
      <w:spacing w:after="240" w:line="240" w:lineRule="auto"/>
      <w:jc w:val="both"/>
      <w:outlineLvl w:val="2"/>
    </w:pPr>
    <w:rPr>
      <w:rFonts w:ascii="Times New Roman" w:eastAsia="Times New Roman" w:hAnsi="Times New Roman"/>
      <w:b/>
      <w:szCs w:val="20"/>
      <w:lang w:val="en-GB" w:eastAsia="x-none" w:bidi="ru-RU"/>
    </w:rPr>
  </w:style>
  <w:style w:type="paragraph" w:styleId="4">
    <w:name w:val="heading 4"/>
    <w:basedOn w:val="a0"/>
    <w:next w:val="a0"/>
    <w:link w:val="40"/>
    <w:uiPriority w:val="2"/>
    <w:qFormat/>
    <w:rsid w:val="006C460D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/>
      <w:b/>
      <w:szCs w:val="20"/>
      <w:lang w:val="en-GB" w:eastAsia="x-none" w:bidi="ru-RU"/>
    </w:rPr>
  </w:style>
  <w:style w:type="paragraph" w:styleId="5">
    <w:name w:val="heading 5"/>
    <w:basedOn w:val="a0"/>
    <w:next w:val="a0"/>
    <w:link w:val="50"/>
    <w:uiPriority w:val="2"/>
    <w:qFormat/>
    <w:rsid w:val="006C460D"/>
    <w:pPr>
      <w:keepNext/>
      <w:numPr>
        <w:ilvl w:val="4"/>
        <w:numId w:val="1"/>
      </w:numPr>
      <w:spacing w:after="240" w:line="240" w:lineRule="auto"/>
      <w:jc w:val="both"/>
      <w:outlineLvl w:val="4"/>
    </w:pPr>
    <w:rPr>
      <w:rFonts w:ascii="Times New Roman" w:eastAsia="Times New Roman" w:hAnsi="Times New Roman"/>
      <w:b/>
      <w:szCs w:val="20"/>
      <w:lang w:val="en-GB" w:eastAsia="x-none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A23EAA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A23EAA"/>
    <w:rPr>
      <w:rFonts w:ascii="Lucida Grande CY" w:eastAsia="Calibri" w:hAnsi="Lucida Grande CY" w:cs="Lucida Grande CY"/>
      <w:sz w:val="18"/>
      <w:szCs w:val="18"/>
      <w:lang w:eastAsia="en-US"/>
    </w:rPr>
  </w:style>
  <w:style w:type="paragraph" w:styleId="a6">
    <w:name w:val="header"/>
    <w:basedOn w:val="a0"/>
    <w:link w:val="a7"/>
    <w:uiPriority w:val="99"/>
    <w:unhideWhenUsed/>
    <w:rsid w:val="00425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425B54"/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page number"/>
    <w:basedOn w:val="a1"/>
    <w:uiPriority w:val="99"/>
    <w:semiHidden/>
    <w:unhideWhenUsed/>
    <w:rsid w:val="00425B54"/>
  </w:style>
  <w:style w:type="character" w:customStyle="1" w:styleId="10">
    <w:name w:val="Заголовок 1 Знак"/>
    <w:basedOn w:val="a1"/>
    <w:link w:val="1"/>
    <w:uiPriority w:val="2"/>
    <w:rsid w:val="006C460D"/>
    <w:rPr>
      <w:rFonts w:ascii="Times New Roman" w:eastAsia="Times New Roman" w:hAnsi="Times New Roman" w:cs="Times New Roman"/>
      <w:b/>
      <w:caps/>
      <w:sz w:val="22"/>
      <w:szCs w:val="20"/>
      <w:lang w:val="en-GB" w:eastAsia="x-none" w:bidi="ru-RU"/>
    </w:rPr>
  </w:style>
  <w:style w:type="character" w:customStyle="1" w:styleId="21">
    <w:name w:val="Заголовок 2 Знак"/>
    <w:basedOn w:val="a1"/>
    <w:link w:val="2"/>
    <w:uiPriority w:val="2"/>
    <w:rsid w:val="006C460D"/>
    <w:rPr>
      <w:rFonts w:ascii="Times New Roman" w:eastAsia="Times New Roman" w:hAnsi="Times New Roman" w:cs="Times New Roman"/>
      <w:b/>
      <w:sz w:val="22"/>
      <w:szCs w:val="20"/>
      <w:lang w:val="en-GB" w:eastAsia="x-none" w:bidi="ru-RU"/>
    </w:rPr>
  </w:style>
  <w:style w:type="character" w:customStyle="1" w:styleId="31">
    <w:name w:val="Заголовок 3 Знак"/>
    <w:basedOn w:val="a1"/>
    <w:link w:val="3"/>
    <w:uiPriority w:val="2"/>
    <w:rsid w:val="006C460D"/>
    <w:rPr>
      <w:rFonts w:ascii="Times New Roman" w:eastAsia="Times New Roman" w:hAnsi="Times New Roman" w:cs="Times New Roman"/>
      <w:b/>
      <w:sz w:val="22"/>
      <w:szCs w:val="20"/>
      <w:lang w:val="en-GB" w:eastAsia="x-none" w:bidi="ru-RU"/>
    </w:rPr>
  </w:style>
  <w:style w:type="character" w:customStyle="1" w:styleId="40">
    <w:name w:val="Заголовок 4 Знак"/>
    <w:basedOn w:val="a1"/>
    <w:link w:val="4"/>
    <w:uiPriority w:val="2"/>
    <w:rsid w:val="006C460D"/>
    <w:rPr>
      <w:rFonts w:ascii="Times New Roman" w:eastAsia="Times New Roman" w:hAnsi="Times New Roman" w:cs="Times New Roman"/>
      <w:b/>
      <w:sz w:val="22"/>
      <w:szCs w:val="20"/>
      <w:lang w:val="en-GB" w:eastAsia="x-none" w:bidi="ru-RU"/>
    </w:rPr>
  </w:style>
  <w:style w:type="character" w:customStyle="1" w:styleId="50">
    <w:name w:val="Заголовок 5 Знак"/>
    <w:basedOn w:val="a1"/>
    <w:link w:val="5"/>
    <w:uiPriority w:val="2"/>
    <w:rsid w:val="006C460D"/>
    <w:rPr>
      <w:rFonts w:ascii="Times New Roman" w:eastAsia="Times New Roman" w:hAnsi="Times New Roman" w:cs="Times New Roman"/>
      <w:b/>
      <w:sz w:val="22"/>
      <w:szCs w:val="20"/>
      <w:lang w:val="en-GB" w:eastAsia="x-none" w:bidi="ru-RU"/>
    </w:rPr>
  </w:style>
  <w:style w:type="paragraph" w:styleId="a">
    <w:name w:val="Body Text"/>
    <w:aliases w:val="Body Text Char1 Char,Body Text Char Char Char"/>
    <w:basedOn w:val="a0"/>
    <w:link w:val="a9"/>
    <w:rsid w:val="006C460D"/>
    <w:pPr>
      <w:numPr>
        <w:ilvl w:val="5"/>
        <w:numId w:val="1"/>
      </w:numPr>
      <w:spacing w:after="240" w:line="240" w:lineRule="auto"/>
      <w:jc w:val="both"/>
    </w:pPr>
    <w:rPr>
      <w:rFonts w:ascii="Cambria" w:eastAsia="Times New Roman" w:hAnsi="Cambria"/>
      <w:szCs w:val="20"/>
      <w:lang w:val="en-GB" w:eastAsia="ru-RU" w:bidi="ru-RU"/>
    </w:rPr>
  </w:style>
  <w:style w:type="character" w:customStyle="1" w:styleId="a9">
    <w:name w:val="Основной текст Знак"/>
    <w:aliases w:val="Body Text Char1 Char Знак,Body Text Char Char Char Знак"/>
    <w:basedOn w:val="a1"/>
    <w:link w:val="a"/>
    <w:rsid w:val="006C460D"/>
    <w:rPr>
      <w:rFonts w:ascii="Cambria" w:eastAsia="Times New Roman" w:hAnsi="Cambria" w:cs="Times New Roman"/>
      <w:sz w:val="22"/>
      <w:szCs w:val="20"/>
      <w:lang w:val="en-GB" w:bidi="ru-RU"/>
    </w:rPr>
  </w:style>
  <w:style w:type="paragraph" w:styleId="20">
    <w:name w:val="Body Text 2"/>
    <w:basedOn w:val="a0"/>
    <w:link w:val="22"/>
    <w:rsid w:val="006C460D"/>
    <w:pPr>
      <w:numPr>
        <w:ilvl w:val="6"/>
        <w:numId w:val="1"/>
      </w:numPr>
      <w:spacing w:after="240" w:line="240" w:lineRule="auto"/>
      <w:jc w:val="both"/>
    </w:pPr>
    <w:rPr>
      <w:rFonts w:ascii="Times New Roman" w:eastAsia="Times New Roman" w:hAnsi="Times New Roman"/>
      <w:szCs w:val="20"/>
      <w:lang w:val="en-GB" w:eastAsia="x-none" w:bidi="ru-RU"/>
    </w:rPr>
  </w:style>
  <w:style w:type="character" w:customStyle="1" w:styleId="22">
    <w:name w:val="Основной текст 2 Знак"/>
    <w:basedOn w:val="a1"/>
    <w:link w:val="20"/>
    <w:rsid w:val="006C460D"/>
    <w:rPr>
      <w:rFonts w:ascii="Times New Roman" w:eastAsia="Times New Roman" w:hAnsi="Times New Roman" w:cs="Times New Roman"/>
      <w:sz w:val="22"/>
      <w:szCs w:val="20"/>
      <w:lang w:val="en-GB" w:eastAsia="x-none" w:bidi="ru-RU"/>
    </w:rPr>
  </w:style>
  <w:style w:type="paragraph" w:styleId="30">
    <w:name w:val="Body Text 3"/>
    <w:basedOn w:val="a0"/>
    <w:link w:val="32"/>
    <w:rsid w:val="006C460D"/>
    <w:pPr>
      <w:numPr>
        <w:ilvl w:val="7"/>
        <w:numId w:val="1"/>
      </w:numPr>
      <w:spacing w:after="240" w:line="240" w:lineRule="auto"/>
      <w:jc w:val="both"/>
    </w:pPr>
    <w:rPr>
      <w:rFonts w:ascii="Times New Roman" w:eastAsia="Times New Roman" w:hAnsi="Times New Roman"/>
      <w:szCs w:val="20"/>
      <w:lang w:val="en-GB" w:eastAsia="x-none" w:bidi="ru-RU"/>
    </w:rPr>
  </w:style>
  <w:style w:type="character" w:customStyle="1" w:styleId="32">
    <w:name w:val="Основной текст 3 Знак"/>
    <w:basedOn w:val="a1"/>
    <w:link w:val="30"/>
    <w:rsid w:val="006C460D"/>
    <w:rPr>
      <w:rFonts w:ascii="Times New Roman" w:eastAsia="Times New Roman" w:hAnsi="Times New Roman" w:cs="Times New Roman"/>
      <w:sz w:val="22"/>
      <w:szCs w:val="20"/>
      <w:lang w:val="en-GB" w:eastAsia="x-none" w:bidi="ru-RU"/>
    </w:rPr>
  </w:style>
  <w:style w:type="paragraph" w:customStyle="1" w:styleId="BodyText4">
    <w:name w:val="Body Text 4"/>
    <w:basedOn w:val="a0"/>
    <w:rsid w:val="006C460D"/>
    <w:pPr>
      <w:numPr>
        <w:ilvl w:val="8"/>
        <w:numId w:val="1"/>
      </w:num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a">
    <w:name w:val="Strong"/>
    <w:qFormat/>
    <w:rsid w:val="006C460D"/>
    <w:rPr>
      <w:b/>
      <w:bCs/>
    </w:rPr>
  </w:style>
  <w:style w:type="paragraph" w:styleId="ab">
    <w:name w:val="footer"/>
    <w:basedOn w:val="a0"/>
    <w:link w:val="ac"/>
    <w:uiPriority w:val="99"/>
    <w:unhideWhenUsed/>
    <w:rsid w:val="00A55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A55AAF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eader" Target="header2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fontTable" Target="fontTable.xml"/><Relationship Id="rId24" Type="http://schemas.openxmlformats.org/officeDocument/2006/relationships/glossaryDocument" Target="glossary/document.xml"/><Relationship Id="rId25" Type="http://schemas.openxmlformats.org/officeDocument/2006/relationships/theme" Target="theme/theme1.xml"/><Relationship Id="rId10" Type="http://schemas.openxmlformats.org/officeDocument/2006/relationships/chart" Target="charts/chart1.xml"/><Relationship Id="rId11" Type="http://schemas.openxmlformats.org/officeDocument/2006/relationships/chart" Target="charts/chart2.xml"/><Relationship Id="rId12" Type="http://schemas.openxmlformats.org/officeDocument/2006/relationships/chart" Target="charts/chart3.xml"/><Relationship Id="rId13" Type="http://schemas.openxmlformats.org/officeDocument/2006/relationships/chart" Target="charts/chart4.xml"/><Relationship Id="rId14" Type="http://schemas.openxmlformats.org/officeDocument/2006/relationships/chart" Target="charts/chart5.xml"/><Relationship Id="rId15" Type="http://schemas.openxmlformats.org/officeDocument/2006/relationships/chart" Target="charts/chart6.xml"/><Relationship Id="rId16" Type="http://schemas.openxmlformats.org/officeDocument/2006/relationships/chart" Target="charts/chart7.xml"/><Relationship Id="rId17" Type="http://schemas.openxmlformats.org/officeDocument/2006/relationships/chart" Target="charts/chart8.xml"/><Relationship Id="rId18" Type="http://schemas.openxmlformats.org/officeDocument/2006/relationships/chart" Target="charts/chart9.xml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Relationship Id="rId2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Relationship Id="rId2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Relationship Id="rId2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.xml"/><Relationship Id="rId2" Type="http://schemas.openxmlformats.org/officeDocument/2006/relationships/package" Target="../embeddings/_____Microsoft_Excel______________________5.xlsm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2.xml"/><Relationship Id="rId2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Relationship Id="rId2" Type="http://schemas.openxmlformats.org/officeDocument/2006/relationships/chartUserShapes" Target="../drawings/drawing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Вылов рыбы в РФ в 2000-2012</a:t>
            </a:r>
            <a:r>
              <a:rPr lang="ru-RU" sz="1400" baseline="0"/>
              <a:t> гг.</a:t>
            </a:r>
            <a:endParaRPr lang="ru-RU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966132140459186"/>
          <c:y val="0.109881163748161"/>
          <c:w val="0.856565080527725"/>
          <c:h val="0.695897579421799"/>
        </c:manualLayout>
      </c:layout>
      <c:barChart>
        <c:barDir val="col"/>
        <c:grouping val="stacked"/>
        <c:varyColors val="0"/>
        <c:ser>
          <c:idx val="3"/>
          <c:order val="0"/>
          <c:tx>
            <c:strRef>
              <c:f>Вылов!$A$5</c:f>
              <c:strCache>
                <c:ptCount val="1"/>
                <c:pt idx="0">
                  <c:v>Вылов лососёвых в РФ</c:v>
                </c:pt>
              </c:strCache>
            </c:strRef>
          </c:tx>
          <c:invertIfNegative val="0"/>
          <c:val>
            <c:numRef>
              <c:f>Вылов!$B$5:$N$5</c:f>
              <c:numCache>
                <c:formatCode>0.0</c:formatCode>
                <c:ptCount val="13"/>
                <c:pt idx="0">
                  <c:v>200.729</c:v>
                </c:pt>
                <c:pt idx="1">
                  <c:v>224.201</c:v>
                </c:pt>
                <c:pt idx="2">
                  <c:v>167.618</c:v>
                </c:pt>
                <c:pt idx="3">
                  <c:v>229.888</c:v>
                </c:pt>
                <c:pt idx="4">
                  <c:v>161.607</c:v>
                </c:pt>
                <c:pt idx="5">
                  <c:v>259.8</c:v>
                </c:pt>
                <c:pt idx="6">
                  <c:v>273.0</c:v>
                </c:pt>
                <c:pt idx="7">
                  <c:v>363.28</c:v>
                </c:pt>
                <c:pt idx="8">
                  <c:v>260.8419999999999</c:v>
                </c:pt>
                <c:pt idx="9">
                  <c:v>509.4959999999998</c:v>
                </c:pt>
                <c:pt idx="10">
                  <c:v>304.553</c:v>
                </c:pt>
                <c:pt idx="11">
                  <c:v>520.654</c:v>
                </c:pt>
                <c:pt idx="12">
                  <c:v>452.0</c:v>
                </c:pt>
              </c:numCache>
            </c:numRef>
          </c:val>
        </c:ser>
        <c:ser>
          <c:idx val="1"/>
          <c:order val="1"/>
          <c:tx>
            <c:strRef>
              <c:f>Вылов!$A$8</c:f>
              <c:strCache>
                <c:ptCount val="1"/>
                <c:pt idx="0">
                  <c:v>Вылов сельди в РФ</c:v>
                </c:pt>
              </c:strCache>
            </c:strRef>
          </c:tx>
          <c:invertIfNegative val="0"/>
          <c:cat>
            <c:numRef>
              <c:f>Вылов!$B$2:$N$2</c:f>
              <c:numCache>
                <c:formatCode>General</c:formatCode>
                <c:ptCount val="13"/>
                <c:pt idx="0">
                  <c:v>2000.0</c:v>
                </c:pt>
                <c:pt idx="1">
                  <c:v>2001.0</c:v>
                </c:pt>
                <c:pt idx="2">
                  <c:v>2002.0</c:v>
                </c:pt>
                <c:pt idx="3">
                  <c:v>2003.0</c:v>
                </c:pt>
                <c:pt idx="4">
                  <c:v>2004.0</c:v>
                </c:pt>
                <c:pt idx="5">
                  <c:v>2005.0</c:v>
                </c:pt>
                <c:pt idx="6">
                  <c:v>2006.0</c:v>
                </c:pt>
                <c:pt idx="7">
                  <c:v>2007.0</c:v>
                </c:pt>
                <c:pt idx="8">
                  <c:v>2008.0</c:v>
                </c:pt>
                <c:pt idx="9">
                  <c:v>2009.0</c:v>
                </c:pt>
                <c:pt idx="10">
                  <c:v>2010.0</c:v>
                </c:pt>
                <c:pt idx="11">
                  <c:v>2011.0</c:v>
                </c:pt>
                <c:pt idx="12">
                  <c:v>2012.0</c:v>
                </c:pt>
              </c:numCache>
            </c:numRef>
          </c:cat>
          <c:val>
            <c:numRef>
              <c:f>Вылов!$B$8:$N$8</c:f>
              <c:numCache>
                <c:formatCode>0.0</c:formatCode>
                <c:ptCount val="13"/>
                <c:pt idx="0">
                  <c:v>513.004</c:v>
                </c:pt>
                <c:pt idx="1">
                  <c:v>412.62</c:v>
                </c:pt>
                <c:pt idx="2">
                  <c:v>338.4289999999998</c:v>
                </c:pt>
                <c:pt idx="3">
                  <c:v>334.149</c:v>
                </c:pt>
                <c:pt idx="4">
                  <c:v>308.2749999999999</c:v>
                </c:pt>
                <c:pt idx="5">
                  <c:v>361.4059999999998</c:v>
                </c:pt>
                <c:pt idx="6">
                  <c:v>352.512</c:v>
                </c:pt>
                <c:pt idx="7">
                  <c:v>344.927</c:v>
                </c:pt>
                <c:pt idx="8">
                  <c:v>357.161</c:v>
                </c:pt>
                <c:pt idx="9">
                  <c:v>412.683</c:v>
                </c:pt>
                <c:pt idx="10">
                  <c:v>414.655</c:v>
                </c:pt>
                <c:pt idx="11">
                  <c:v>438.5209999999998</c:v>
                </c:pt>
                <c:pt idx="12">
                  <c:v>414.7</c:v>
                </c:pt>
              </c:numCache>
            </c:numRef>
          </c:val>
        </c:ser>
        <c:ser>
          <c:idx val="0"/>
          <c:order val="2"/>
          <c:tx>
            <c:strRef>
              <c:f>Вылов!$A$4</c:f>
              <c:strCache>
                <c:ptCount val="1"/>
                <c:pt idx="0">
                  <c:v>Вылов минтая в РФ</c:v>
                </c:pt>
              </c:strCache>
            </c:strRef>
          </c:tx>
          <c:invertIfNegative val="0"/>
          <c:cat>
            <c:numRef>
              <c:f>Вылов!$B$2:$N$2</c:f>
              <c:numCache>
                <c:formatCode>General</c:formatCode>
                <c:ptCount val="13"/>
                <c:pt idx="0">
                  <c:v>2000.0</c:v>
                </c:pt>
                <c:pt idx="1">
                  <c:v>2001.0</c:v>
                </c:pt>
                <c:pt idx="2">
                  <c:v>2002.0</c:v>
                </c:pt>
                <c:pt idx="3">
                  <c:v>2003.0</c:v>
                </c:pt>
                <c:pt idx="4">
                  <c:v>2004.0</c:v>
                </c:pt>
                <c:pt idx="5">
                  <c:v>2005.0</c:v>
                </c:pt>
                <c:pt idx="6">
                  <c:v>2006.0</c:v>
                </c:pt>
                <c:pt idx="7">
                  <c:v>2007.0</c:v>
                </c:pt>
                <c:pt idx="8">
                  <c:v>2008.0</c:v>
                </c:pt>
                <c:pt idx="9">
                  <c:v>2009.0</c:v>
                </c:pt>
                <c:pt idx="10">
                  <c:v>2010.0</c:v>
                </c:pt>
                <c:pt idx="11">
                  <c:v>2011.0</c:v>
                </c:pt>
                <c:pt idx="12">
                  <c:v>2012.0</c:v>
                </c:pt>
              </c:numCache>
            </c:numRef>
          </c:cat>
          <c:val>
            <c:numRef>
              <c:f>Вылов!$B$4:$N$4</c:f>
              <c:numCache>
                <c:formatCode>0.0</c:formatCode>
                <c:ptCount val="13"/>
                <c:pt idx="0">
                  <c:v>1359.625</c:v>
                </c:pt>
                <c:pt idx="1">
                  <c:v>1414.439</c:v>
                </c:pt>
                <c:pt idx="2">
                  <c:v>858.744</c:v>
                </c:pt>
                <c:pt idx="3">
                  <c:v>1096.277</c:v>
                </c:pt>
                <c:pt idx="4">
                  <c:v>876.9419999999998</c:v>
                </c:pt>
                <c:pt idx="5">
                  <c:v>1008.085</c:v>
                </c:pt>
                <c:pt idx="6">
                  <c:v>1059.43</c:v>
                </c:pt>
                <c:pt idx="7">
                  <c:v>1245.181</c:v>
                </c:pt>
                <c:pt idx="8">
                  <c:v>1357.787</c:v>
                </c:pt>
                <c:pt idx="9">
                  <c:v>1372.727266</c:v>
                </c:pt>
                <c:pt idx="10">
                  <c:v>1633.113651</c:v>
                </c:pt>
                <c:pt idx="11">
                  <c:v>1629.750498</c:v>
                </c:pt>
                <c:pt idx="12">
                  <c:v>1675.890488</c:v>
                </c:pt>
              </c:numCache>
            </c:numRef>
          </c:val>
        </c:ser>
        <c:ser>
          <c:idx val="2"/>
          <c:order val="3"/>
          <c:tx>
            <c:strRef>
              <c:f>Вылов!$A$9</c:f>
              <c:strCache>
                <c:ptCount val="1"/>
                <c:pt idx="0">
                  <c:v>Остальное</c:v>
                </c:pt>
              </c:strCache>
            </c:strRef>
          </c:tx>
          <c:invertIfNegative val="0"/>
          <c:cat>
            <c:numRef>
              <c:f>Вылов!$B$2:$N$2</c:f>
              <c:numCache>
                <c:formatCode>General</c:formatCode>
                <c:ptCount val="13"/>
                <c:pt idx="0">
                  <c:v>2000.0</c:v>
                </c:pt>
                <c:pt idx="1">
                  <c:v>2001.0</c:v>
                </c:pt>
                <c:pt idx="2">
                  <c:v>2002.0</c:v>
                </c:pt>
                <c:pt idx="3">
                  <c:v>2003.0</c:v>
                </c:pt>
                <c:pt idx="4">
                  <c:v>2004.0</c:v>
                </c:pt>
                <c:pt idx="5">
                  <c:v>2005.0</c:v>
                </c:pt>
                <c:pt idx="6">
                  <c:v>2006.0</c:v>
                </c:pt>
                <c:pt idx="7">
                  <c:v>2007.0</c:v>
                </c:pt>
                <c:pt idx="8">
                  <c:v>2008.0</c:v>
                </c:pt>
                <c:pt idx="9">
                  <c:v>2009.0</c:v>
                </c:pt>
                <c:pt idx="10">
                  <c:v>2010.0</c:v>
                </c:pt>
                <c:pt idx="11">
                  <c:v>2011.0</c:v>
                </c:pt>
                <c:pt idx="12">
                  <c:v>2012.0</c:v>
                </c:pt>
              </c:numCache>
            </c:numRef>
          </c:cat>
          <c:val>
            <c:numRef>
              <c:f>Вылов!$B$9:$N$9</c:f>
              <c:numCache>
                <c:formatCode>0.0</c:formatCode>
                <c:ptCount val="13"/>
                <c:pt idx="0">
                  <c:v>1842.758</c:v>
                </c:pt>
                <c:pt idx="1">
                  <c:v>1497.307</c:v>
                </c:pt>
                <c:pt idx="2">
                  <c:v>1808.35</c:v>
                </c:pt>
                <c:pt idx="3">
                  <c:v>1530.003</c:v>
                </c:pt>
                <c:pt idx="4">
                  <c:v>1535.18</c:v>
                </c:pt>
                <c:pt idx="5">
                  <c:v>1539.447</c:v>
                </c:pt>
                <c:pt idx="6">
                  <c:v>1560.385</c:v>
                </c:pt>
                <c:pt idx="7">
                  <c:v>1381.667</c:v>
                </c:pt>
                <c:pt idx="8">
                  <c:v>1281.919</c:v>
                </c:pt>
                <c:pt idx="9">
                  <c:v>1383.131734</c:v>
                </c:pt>
                <c:pt idx="10">
                  <c:v>1674.678349</c:v>
                </c:pt>
                <c:pt idx="11">
                  <c:v>1675.074502</c:v>
                </c:pt>
                <c:pt idx="12">
                  <c:v>1709.409512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605484376"/>
        <c:axId val="572746792"/>
      </c:barChart>
      <c:catAx>
        <c:axId val="605484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572746792"/>
        <c:crosses val="autoZero"/>
        <c:auto val="1"/>
        <c:lblAlgn val="ctr"/>
        <c:lblOffset val="100"/>
        <c:noMultiLvlLbl val="0"/>
      </c:catAx>
      <c:valAx>
        <c:axId val="572746792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crossAx val="6054843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074949203904717"/>
          <c:y val="0.870806410996941"/>
          <c:w val="0.85987000836252"/>
          <c:h val="0.057201760789919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Вылов минтая и экспорт минтая мороженного</a:t>
            </a:r>
            <a:r>
              <a:rPr lang="ru-RU" sz="1400" baseline="0"/>
              <a:t> 2010-2013 гг</a:t>
            </a:r>
            <a:endParaRPr lang="ru-RU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72392387072199"/>
          <c:y val="0.135837720236182"/>
          <c:w val="0.903283119032794"/>
          <c:h val="0.560867037961718"/>
        </c:manualLayout>
      </c:layout>
      <c:barChart>
        <c:barDir val="col"/>
        <c:grouping val="clustered"/>
        <c:varyColors val="0"/>
        <c:ser>
          <c:idx val="0"/>
          <c:order val="0"/>
          <c:tx>
            <c:v>Экспорт минтая мороженного</c:v>
          </c:tx>
          <c:invertIfNegative val="0"/>
          <c:cat>
            <c:multiLvlStrRef>
              <c:f>'Вылов и экспорт'!$A$6:$B$45</c:f>
              <c:multiLvlStrCache>
                <c:ptCount val="40"/>
                <c:lvl>
                  <c:pt idx="0">
                    <c:v>Сентябрь</c:v>
                  </c:pt>
                  <c:pt idx="1">
                    <c:v>Октябрь</c:v>
                  </c:pt>
                  <c:pt idx="2">
                    <c:v>Ноябрь</c:v>
                  </c:pt>
                  <c:pt idx="3">
                    <c:v>Декабрь</c:v>
                  </c:pt>
                  <c:pt idx="4">
                    <c:v>Январь</c:v>
                  </c:pt>
                  <c:pt idx="5">
                    <c:v>Февраль</c:v>
                  </c:pt>
                  <c:pt idx="6">
                    <c:v>Март</c:v>
                  </c:pt>
                  <c:pt idx="7">
                    <c:v>Апрель</c:v>
                  </c:pt>
                  <c:pt idx="8">
                    <c:v>Май</c:v>
                  </c:pt>
                  <c:pt idx="9">
                    <c:v>Июнь</c:v>
                  </c:pt>
                  <c:pt idx="10">
                    <c:v>Июль</c:v>
                  </c:pt>
                  <c:pt idx="11">
                    <c:v>Август</c:v>
                  </c:pt>
                  <c:pt idx="12">
                    <c:v>Сентябрь</c:v>
                  </c:pt>
                  <c:pt idx="13">
                    <c:v>Октябрь</c:v>
                  </c:pt>
                  <c:pt idx="14">
                    <c:v>Ноябрь</c:v>
                  </c:pt>
                  <c:pt idx="15">
                    <c:v>Декабрь</c:v>
                  </c:pt>
                  <c:pt idx="16">
                    <c:v>Январь</c:v>
                  </c:pt>
                  <c:pt idx="17">
                    <c:v>Февраль</c:v>
                  </c:pt>
                  <c:pt idx="18">
                    <c:v>Март</c:v>
                  </c:pt>
                  <c:pt idx="19">
                    <c:v>Апрель</c:v>
                  </c:pt>
                  <c:pt idx="20">
                    <c:v>Май</c:v>
                  </c:pt>
                  <c:pt idx="21">
                    <c:v>Июнь</c:v>
                  </c:pt>
                  <c:pt idx="22">
                    <c:v>Июнь</c:v>
                  </c:pt>
                  <c:pt idx="23">
                    <c:v>Август</c:v>
                  </c:pt>
                  <c:pt idx="24">
                    <c:v>Сентябрь</c:v>
                  </c:pt>
                  <c:pt idx="25">
                    <c:v>Октябрь</c:v>
                  </c:pt>
                  <c:pt idx="26">
                    <c:v>Ноябрь</c:v>
                  </c:pt>
                  <c:pt idx="27">
                    <c:v>Декабрь</c:v>
                  </c:pt>
                  <c:pt idx="28">
                    <c:v>Январь</c:v>
                  </c:pt>
                  <c:pt idx="29">
                    <c:v>Февраль</c:v>
                  </c:pt>
                  <c:pt idx="30">
                    <c:v>Март</c:v>
                  </c:pt>
                  <c:pt idx="31">
                    <c:v>Апрель</c:v>
                  </c:pt>
                  <c:pt idx="32">
                    <c:v>Май</c:v>
                  </c:pt>
                  <c:pt idx="33">
                    <c:v>Июнь</c:v>
                  </c:pt>
                  <c:pt idx="34">
                    <c:v>Июль</c:v>
                  </c:pt>
                  <c:pt idx="35">
                    <c:v>Август</c:v>
                  </c:pt>
                  <c:pt idx="36">
                    <c:v>Сентябрь</c:v>
                  </c:pt>
                  <c:pt idx="37">
                    <c:v>Октябрь</c:v>
                  </c:pt>
                  <c:pt idx="38">
                    <c:v>Ноябрь</c:v>
                  </c:pt>
                  <c:pt idx="39">
                    <c:v>Декабрь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16">
                    <c:v>2012</c:v>
                  </c:pt>
                  <c:pt idx="28">
                    <c:v>2013</c:v>
                  </c:pt>
                </c:lvl>
              </c:multiLvlStrCache>
            </c:multiLvlStrRef>
          </c:cat>
          <c:val>
            <c:numRef>
              <c:f>'Вылов и экспорт'!$F$6:$F$35</c:f>
              <c:numCache>
                <c:formatCode>0.00</c:formatCode>
                <c:ptCount val="30"/>
                <c:pt idx="0">
                  <c:v>35.243</c:v>
                </c:pt>
                <c:pt idx="1">
                  <c:v>46.86</c:v>
                </c:pt>
                <c:pt idx="2">
                  <c:v>53.608</c:v>
                </c:pt>
                <c:pt idx="3">
                  <c:v>48.828</c:v>
                </c:pt>
                <c:pt idx="4">
                  <c:v>54.69900000000001</c:v>
                </c:pt>
                <c:pt idx="5">
                  <c:v>80.207</c:v>
                </c:pt>
                <c:pt idx="6">
                  <c:v>154.425</c:v>
                </c:pt>
                <c:pt idx="7">
                  <c:v>147.544</c:v>
                </c:pt>
                <c:pt idx="8">
                  <c:v>31.535</c:v>
                </c:pt>
                <c:pt idx="9">
                  <c:v>27.20499999999999</c:v>
                </c:pt>
                <c:pt idx="10">
                  <c:v>37.12900000000001</c:v>
                </c:pt>
                <c:pt idx="11">
                  <c:v>43.418</c:v>
                </c:pt>
                <c:pt idx="12">
                  <c:v>56.14900000000001</c:v>
                </c:pt>
                <c:pt idx="13">
                  <c:v>66.295</c:v>
                </c:pt>
                <c:pt idx="14">
                  <c:v>62.42100000000001</c:v>
                </c:pt>
                <c:pt idx="15">
                  <c:v>49.645</c:v>
                </c:pt>
                <c:pt idx="16">
                  <c:v>49.383</c:v>
                </c:pt>
                <c:pt idx="17">
                  <c:v>107.661</c:v>
                </c:pt>
                <c:pt idx="18">
                  <c:v>124.745</c:v>
                </c:pt>
                <c:pt idx="19">
                  <c:v>119.93</c:v>
                </c:pt>
                <c:pt idx="20">
                  <c:v>25.816</c:v>
                </c:pt>
                <c:pt idx="21">
                  <c:v>29.848</c:v>
                </c:pt>
                <c:pt idx="22">
                  <c:v>37.20300000000001</c:v>
                </c:pt>
                <c:pt idx="23">
                  <c:v>48.07400000000001</c:v>
                </c:pt>
                <c:pt idx="24">
                  <c:v>53.09992800000001</c:v>
                </c:pt>
                <c:pt idx="25">
                  <c:v>60.383</c:v>
                </c:pt>
                <c:pt idx="26">
                  <c:v>74.715</c:v>
                </c:pt>
                <c:pt idx="27">
                  <c:v>43.265</c:v>
                </c:pt>
                <c:pt idx="28">
                  <c:v>49.0</c:v>
                </c:pt>
                <c:pt idx="29">
                  <c:v>72.119</c:v>
                </c:pt>
              </c:numCache>
            </c:numRef>
          </c:val>
        </c:ser>
        <c:ser>
          <c:idx val="1"/>
          <c:order val="1"/>
          <c:tx>
            <c:strRef>
              <c:f>'Вылов и экспорт'!$H$3:$H$5</c:f>
              <c:strCache>
                <c:ptCount val="1"/>
                <c:pt idx="0">
                  <c:v>Вылов минтая</c:v>
                </c:pt>
              </c:strCache>
            </c:strRef>
          </c:tx>
          <c:invertIfNegative val="0"/>
          <c:cat>
            <c:multiLvlStrRef>
              <c:f>'Вылов и экспорт'!$A$6:$B$45</c:f>
              <c:multiLvlStrCache>
                <c:ptCount val="40"/>
                <c:lvl>
                  <c:pt idx="0">
                    <c:v>Сентябрь</c:v>
                  </c:pt>
                  <c:pt idx="1">
                    <c:v>Октябрь</c:v>
                  </c:pt>
                  <c:pt idx="2">
                    <c:v>Ноябрь</c:v>
                  </c:pt>
                  <c:pt idx="3">
                    <c:v>Декабрь</c:v>
                  </c:pt>
                  <c:pt idx="4">
                    <c:v>Январь</c:v>
                  </c:pt>
                  <c:pt idx="5">
                    <c:v>Февраль</c:v>
                  </c:pt>
                  <c:pt idx="6">
                    <c:v>Март</c:v>
                  </c:pt>
                  <c:pt idx="7">
                    <c:v>Апрель</c:v>
                  </c:pt>
                  <c:pt idx="8">
                    <c:v>Май</c:v>
                  </c:pt>
                  <c:pt idx="9">
                    <c:v>Июнь</c:v>
                  </c:pt>
                  <c:pt idx="10">
                    <c:v>Июль</c:v>
                  </c:pt>
                  <c:pt idx="11">
                    <c:v>Август</c:v>
                  </c:pt>
                  <c:pt idx="12">
                    <c:v>Сентябрь</c:v>
                  </c:pt>
                  <c:pt idx="13">
                    <c:v>Октябрь</c:v>
                  </c:pt>
                  <c:pt idx="14">
                    <c:v>Ноябрь</c:v>
                  </c:pt>
                  <c:pt idx="15">
                    <c:v>Декабрь</c:v>
                  </c:pt>
                  <c:pt idx="16">
                    <c:v>Январь</c:v>
                  </c:pt>
                  <c:pt idx="17">
                    <c:v>Февраль</c:v>
                  </c:pt>
                  <c:pt idx="18">
                    <c:v>Март</c:v>
                  </c:pt>
                  <c:pt idx="19">
                    <c:v>Апрель</c:v>
                  </c:pt>
                  <c:pt idx="20">
                    <c:v>Май</c:v>
                  </c:pt>
                  <c:pt idx="21">
                    <c:v>Июнь</c:v>
                  </c:pt>
                  <c:pt idx="22">
                    <c:v>Июнь</c:v>
                  </c:pt>
                  <c:pt idx="23">
                    <c:v>Август</c:v>
                  </c:pt>
                  <c:pt idx="24">
                    <c:v>Сентябрь</c:v>
                  </c:pt>
                  <c:pt idx="25">
                    <c:v>Октябрь</c:v>
                  </c:pt>
                  <c:pt idx="26">
                    <c:v>Ноябрь</c:v>
                  </c:pt>
                  <c:pt idx="27">
                    <c:v>Декабрь</c:v>
                  </c:pt>
                  <c:pt idx="28">
                    <c:v>Январь</c:v>
                  </c:pt>
                  <c:pt idx="29">
                    <c:v>Февраль</c:v>
                  </c:pt>
                  <c:pt idx="30">
                    <c:v>Март</c:v>
                  </c:pt>
                  <c:pt idx="31">
                    <c:v>Апрель</c:v>
                  </c:pt>
                  <c:pt idx="32">
                    <c:v>Май</c:v>
                  </c:pt>
                  <c:pt idx="33">
                    <c:v>Июнь</c:v>
                  </c:pt>
                  <c:pt idx="34">
                    <c:v>Июль</c:v>
                  </c:pt>
                  <c:pt idx="35">
                    <c:v>Август</c:v>
                  </c:pt>
                  <c:pt idx="36">
                    <c:v>Сентябрь</c:v>
                  </c:pt>
                  <c:pt idx="37">
                    <c:v>Октябрь</c:v>
                  </c:pt>
                  <c:pt idx="38">
                    <c:v>Ноябрь</c:v>
                  </c:pt>
                  <c:pt idx="39">
                    <c:v>Декабрь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16">
                    <c:v>2012</c:v>
                  </c:pt>
                  <c:pt idx="28">
                    <c:v>2013</c:v>
                  </c:pt>
                </c:lvl>
              </c:multiLvlStrCache>
            </c:multiLvlStrRef>
          </c:cat>
          <c:val>
            <c:numRef>
              <c:f>'Вылов и экспорт'!$H$6:$H$35</c:f>
              <c:numCache>
                <c:formatCode>0.0</c:formatCode>
                <c:ptCount val="30"/>
                <c:pt idx="0">
                  <c:v>96.37824699999994</c:v>
                </c:pt>
                <c:pt idx="1">
                  <c:v>78.211768</c:v>
                </c:pt>
                <c:pt idx="2">
                  <c:v>97.67453099999994</c:v>
                </c:pt>
                <c:pt idx="3">
                  <c:v>97.29402</c:v>
                </c:pt>
                <c:pt idx="4">
                  <c:v>196.378189</c:v>
                </c:pt>
                <c:pt idx="5">
                  <c:v>249.751744</c:v>
                </c:pt>
                <c:pt idx="6">
                  <c:v>346.599962</c:v>
                </c:pt>
                <c:pt idx="7">
                  <c:v>107.991508</c:v>
                </c:pt>
                <c:pt idx="8">
                  <c:v>63.900847</c:v>
                </c:pt>
                <c:pt idx="9">
                  <c:v>91.62491099999998</c:v>
                </c:pt>
                <c:pt idx="10">
                  <c:v>79.84573799999991</c:v>
                </c:pt>
                <c:pt idx="11">
                  <c:v>98.644556</c:v>
                </c:pt>
                <c:pt idx="12">
                  <c:v>105.206416</c:v>
                </c:pt>
                <c:pt idx="13">
                  <c:v>102.703365</c:v>
                </c:pt>
                <c:pt idx="14">
                  <c:v>82.916386</c:v>
                </c:pt>
                <c:pt idx="15">
                  <c:v>103.83158</c:v>
                </c:pt>
                <c:pt idx="16">
                  <c:v>167.310052</c:v>
                </c:pt>
                <c:pt idx="17">
                  <c:v>294.1312089999996</c:v>
                </c:pt>
                <c:pt idx="18">
                  <c:v>335.150084</c:v>
                </c:pt>
                <c:pt idx="19">
                  <c:v>87.77345700000001</c:v>
                </c:pt>
                <c:pt idx="20">
                  <c:v>61.871495</c:v>
                </c:pt>
                <c:pt idx="21">
                  <c:v>89.16347199999993</c:v>
                </c:pt>
                <c:pt idx="22">
                  <c:v>115.584283</c:v>
                </c:pt>
                <c:pt idx="23">
                  <c:v>105.594004</c:v>
                </c:pt>
                <c:pt idx="24">
                  <c:v>123.309665</c:v>
                </c:pt>
                <c:pt idx="25">
                  <c:v>99.789085</c:v>
                </c:pt>
                <c:pt idx="26">
                  <c:v>84.02909099999998</c:v>
                </c:pt>
                <c:pt idx="27">
                  <c:v>105.89256</c:v>
                </c:pt>
                <c:pt idx="28">
                  <c:v>159.442963</c:v>
                </c:pt>
                <c:pt idx="29">
                  <c:v>296.0151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528509624"/>
        <c:axId val="572664088"/>
      </c:barChart>
      <c:catAx>
        <c:axId val="528509624"/>
        <c:scaling>
          <c:orientation val="minMax"/>
        </c:scaling>
        <c:delete val="0"/>
        <c:axPos val="b"/>
        <c:majorTickMark val="none"/>
        <c:minorTickMark val="none"/>
        <c:tickLblPos val="nextTo"/>
        <c:crossAx val="572664088"/>
        <c:crosses val="autoZero"/>
        <c:auto val="1"/>
        <c:lblAlgn val="ctr"/>
        <c:lblOffset val="100"/>
        <c:noMultiLvlLbl val="0"/>
      </c:catAx>
      <c:valAx>
        <c:axId val="572664088"/>
        <c:scaling>
          <c:orientation val="minMax"/>
        </c:scaling>
        <c:delete val="0"/>
        <c:axPos val="l"/>
        <c:majorGridlines/>
        <c:numFmt formatCode="0.00" sourceLinked="1"/>
        <c:majorTickMark val="none"/>
        <c:minorTickMark val="none"/>
        <c:tickLblPos val="nextTo"/>
        <c:spPr>
          <a:ln w="9525">
            <a:noFill/>
          </a:ln>
        </c:spPr>
        <c:crossAx val="5285096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0142961879748369"/>
          <c:y val="0.901326433040562"/>
          <c:w val="0.959310751720233"/>
          <c:h val="0.0476022580151703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Импорт в РФ рыбного филе в 2004 - 2012 гг., тыс. тонн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594452312166015"/>
          <c:y val="0.119217965604066"/>
          <c:w val="0.919451651277403"/>
          <c:h val="0.7492953628350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'Импорт филе и охажд.'!$A$4</c:f>
              <c:strCache>
                <c:ptCount val="1"/>
                <c:pt idx="0">
                  <c:v>Филе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'Импорт филе и охажд.'!$B$3:$J$3</c:f>
              <c:numCache>
                <c:formatCode>General</c:formatCode>
                <c:ptCount val="9"/>
                <c:pt idx="0">
                  <c:v>2004.0</c:v>
                </c:pt>
                <c:pt idx="1">
                  <c:v>2005.0</c:v>
                </c:pt>
                <c:pt idx="2">
                  <c:v>2006.0</c:v>
                </c:pt>
                <c:pt idx="3">
                  <c:v>2007.0</c:v>
                </c:pt>
                <c:pt idx="4">
                  <c:v>2008.0</c:v>
                </c:pt>
                <c:pt idx="5">
                  <c:v>2009.0</c:v>
                </c:pt>
                <c:pt idx="6">
                  <c:v>2010.0</c:v>
                </c:pt>
                <c:pt idx="7">
                  <c:v>2011.0</c:v>
                </c:pt>
                <c:pt idx="8">
                  <c:v>2012.0</c:v>
                </c:pt>
              </c:numCache>
            </c:numRef>
          </c:cat>
          <c:val>
            <c:numRef>
              <c:f>'Импорт филе и охажд.'!$B$4:$J$4</c:f>
              <c:numCache>
                <c:formatCode>General</c:formatCode>
                <c:ptCount val="9"/>
                <c:pt idx="0">
                  <c:v>5.9</c:v>
                </c:pt>
                <c:pt idx="1">
                  <c:v>35.9</c:v>
                </c:pt>
                <c:pt idx="2">
                  <c:v>67.0</c:v>
                </c:pt>
                <c:pt idx="3">
                  <c:v>94.0</c:v>
                </c:pt>
                <c:pt idx="4">
                  <c:v>250.0</c:v>
                </c:pt>
                <c:pt idx="5">
                  <c:v>178.0</c:v>
                </c:pt>
                <c:pt idx="6">
                  <c:v>137.0</c:v>
                </c:pt>
                <c:pt idx="7">
                  <c:v>125.0</c:v>
                </c:pt>
                <c:pt idx="8">
                  <c:v>123.4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-25"/>
        <c:axId val="605064792"/>
        <c:axId val="573327928"/>
      </c:barChart>
      <c:catAx>
        <c:axId val="605064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573327928"/>
        <c:crosses val="autoZero"/>
        <c:auto val="1"/>
        <c:lblAlgn val="ctr"/>
        <c:lblOffset val="100"/>
        <c:noMultiLvlLbl val="0"/>
      </c:catAx>
      <c:valAx>
        <c:axId val="5733279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6050647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Импорт замороженной продукции из сельди в РФ 2009 - 2012 гг.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659088413948256"/>
          <c:y val="0.142426816103632"/>
          <c:w val="0.87179650543682"/>
          <c:h val="0.637122336829139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'Импорт сельди'!$A$10</c:f>
              <c:strCache>
                <c:ptCount val="1"/>
                <c:pt idx="0">
                  <c:v>Российский импорт сельди мороженой, тыс тонн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00213818212429236"/>
                  <c:y val="0.44472327753412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00427636424858468"/>
                  <c:y val="0.33685212589974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'Импорт сельди'!$B$3:$E$3</c:f>
              <c:strCache>
                <c:ptCount val="4"/>
                <c:pt idx="0">
                  <c:v>2009 год</c:v>
                </c:pt>
                <c:pt idx="1">
                  <c:v>2010 год</c:v>
                </c:pt>
                <c:pt idx="2">
                  <c:v>2011 год</c:v>
                </c:pt>
                <c:pt idx="3">
                  <c:v>2012 год</c:v>
                </c:pt>
              </c:strCache>
            </c:strRef>
          </c:cat>
          <c:val>
            <c:numRef>
              <c:f>'Импорт сельди'!$B$10:$E$10</c:f>
              <c:numCache>
                <c:formatCode>#,##0.0</c:formatCode>
                <c:ptCount val="4"/>
                <c:pt idx="0">
                  <c:v>170.97221</c:v>
                </c:pt>
                <c:pt idx="1">
                  <c:v>140.356618</c:v>
                </c:pt>
                <c:pt idx="2">
                  <c:v>106.259027</c:v>
                </c:pt>
                <c:pt idx="3">
                  <c:v>94.27964299999998</c:v>
                </c:pt>
              </c:numCache>
            </c:numRef>
          </c:val>
        </c:ser>
        <c:ser>
          <c:idx val="2"/>
          <c:order val="2"/>
          <c:tx>
            <c:strRef>
              <c:f>'Импорт сельди'!$A$11</c:f>
              <c:strCache>
                <c:ptCount val="1"/>
                <c:pt idx="0">
                  <c:v>Российский импорт мороженого филе сельди и прочего мяса сельди, тыс тонн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'Импорт сельди'!$B$3:$E$3</c:f>
              <c:strCache>
                <c:ptCount val="4"/>
                <c:pt idx="0">
                  <c:v>2009 год</c:v>
                </c:pt>
                <c:pt idx="1">
                  <c:v>2010 год</c:v>
                </c:pt>
                <c:pt idx="2">
                  <c:v>2011 год</c:v>
                </c:pt>
                <c:pt idx="3">
                  <c:v>2012 год</c:v>
                </c:pt>
              </c:strCache>
            </c:strRef>
          </c:cat>
          <c:val>
            <c:numRef>
              <c:f>'Импорт сельди'!$B$11:$E$11</c:f>
              <c:numCache>
                <c:formatCode>#,##0.0</c:formatCode>
                <c:ptCount val="4"/>
                <c:pt idx="0">
                  <c:v>52.900827</c:v>
                </c:pt>
                <c:pt idx="1">
                  <c:v>53.900297</c:v>
                </c:pt>
                <c:pt idx="2">
                  <c:v>43.173726</c:v>
                </c:pt>
                <c:pt idx="3">
                  <c:v>42.7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3287496"/>
        <c:axId val="4770664"/>
      </c:barChart>
      <c:lineChart>
        <c:grouping val="standard"/>
        <c:varyColors val="0"/>
        <c:ser>
          <c:idx val="0"/>
          <c:order val="0"/>
          <c:tx>
            <c:strRef>
              <c:f>'Импорт сельди'!$A$15</c:f>
              <c:strCache>
                <c:ptCount val="1"/>
                <c:pt idx="0">
                  <c:v>Российский импорт сельди мороженой, млн. руб</c:v>
                </c:pt>
              </c:strCache>
            </c:strRef>
          </c:tx>
          <c:marker>
            <c:symbol val="square"/>
            <c:size val="4"/>
          </c:marker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'Импорт сельди'!$B$2:$E$3</c:f>
              <c:strCache>
                <c:ptCount val="4"/>
                <c:pt idx="0">
                  <c:v>2009 год</c:v>
                </c:pt>
                <c:pt idx="1">
                  <c:v>2010 год</c:v>
                </c:pt>
                <c:pt idx="2">
                  <c:v>2011 год</c:v>
                </c:pt>
                <c:pt idx="3">
                  <c:v>2012 год</c:v>
                </c:pt>
              </c:strCache>
            </c:strRef>
          </c:cat>
          <c:val>
            <c:numRef>
              <c:f>'Импорт сельди'!$B$15:$E$15</c:f>
              <c:numCache>
                <c:formatCode>#,##0.0</c:formatCode>
                <c:ptCount val="4"/>
                <c:pt idx="0">
                  <c:v>4402.556738</c:v>
                </c:pt>
                <c:pt idx="1">
                  <c:v>3681.60301</c:v>
                </c:pt>
                <c:pt idx="2">
                  <c:v>4045.503133</c:v>
                </c:pt>
                <c:pt idx="3">
                  <c:v>3944.22845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'Импорт сельди'!$A$16</c:f>
              <c:strCache>
                <c:ptCount val="1"/>
                <c:pt idx="0">
                  <c:v>Российский импорт мороженого филе сельди и прочего мяса сельди, тыс тонн</c:v>
                </c:pt>
              </c:strCache>
            </c:strRef>
          </c:tx>
          <c:marker>
            <c:symbol val="square"/>
            <c:size val="4"/>
          </c:marker>
          <c:dLbls>
            <c:dLbl>
              <c:idx val="0"/>
              <c:layout>
                <c:manualLayout>
                  <c:x val="-0.0199580652418448"/>
                  <c:y val="-0.034898118651199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'Импорт сельди'!$B$2:$E$3</c:f>
              <c:strCache>
                <c:ptCount val="4"/>
                <c:pt idx="0">
                  <c:v>2009 год</c:v>
                </c:pt>
                <c:pt idx="1">
                  <c:v>2010 год</c:v>
                </c:pt>
                <c:pt idx="2">
                  <c:v>2011 год</c:v>
                </c:pt>
                <c:pt idx="3">
                  <c:v>2012 год</c:v>
                </c:pt>
              </c:strCache>
            </c:strRef>
          </c:cat>
          <c:val>
            <c:numRef>
              <c:f>'Импорт сельди'!$B$16:$E$16</c:f>
              <c:numCache>
                <c:formatCode>#,##0.0</c:formatCode>
                <c:ptCount val="4"/>
                <c:pt idx="0">
                  <c:v>2119.124789</c:v>
                </c:pt>
                <c:pt idx="1">
                  <c:v>2018.908179</c:v>
                </c:pt>
                <c:pt idx="2">
                  <c:v>2637.772981</c:v>
                </c:pt>
                <c:pt idx="3">
                  <c:v>3363.1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05076568"/>
        <c:axId val="605075144"/>
      </c:lineChart>
      <c:catAx>
        <c:axId val="573287496"/>
        <c:scaling>
          <c:orientation val="minMax"/>
        </c:scaling>
        <c:delete val="0"/>
        <c:axPos val="b"/>
        <c:majorTickMark val="none"/>
        <c:minorTickMark val="none"/>
        <c:tickLblPos val="nextTo"/>
        <c:crossAx val="4770664"/>
        <c:crosses val="autoZero"/>
        <c:auto val="1"/>
        <c:lblAlgn val="ctr"/>
        <c:lblOffset val="100"/>
        <c:noMultiLvlLbl val="0"/>
      </c:catAx>
      <c:valAx>
        <c:axId val="4770664"/>
        <c:scaling>
          <c:orientation val="minMax"/>
        </c:scaling>
        <c:delete val="0"/>
        <c:axPos val="l"/>
        <c:majorGridlines/>
        <c:numFmt formatCode="#,##0.0" sourceLinked="1"/>
        <c:majorTickMark val="none"/>
        <c:minorTickMark val="none"/>
        <c:tickLblPos val="nextTo"/>
        <c:crossAx val="573287496"/>
        <c:crosses val="autoZero"/>
        <c:crossBetween val="between"/>
      </c:valAx>
      <c:valAx>
        <c:axId val="605075144"/>
        <c:scaling>
          <c:orientation val="minMax"/>
        </c:scaling>
        <c:delete val="0"/>
        <c:axPos val="r"/>
        <c:numFmt formatCode="#,##0.0" sourceLinked="1"/>
        <c:majorTickMark val="out"/>
        <c:minorTickMark val="none"/>
        <c:tickLblPos val="nextTo"/>
        <c:crossAx val="605076568"/>
        <c:crosses val="max"/>
        <c:crossBetween val="between"/>
      </c:valAx>
      <c:catAx>
        <c:axId val="605076568"/>
        <c:scaling>
          <c:orientation val="minMax"/>
        </c:scaling>
        <c:delete val="1"/>
        <c:axPos val="b"/>
        <c:majorTickMark val="out"/>
        <c:minorTickMark val="none"/>
        <c:tickLblPos val="nextTo"/>
        <c:crossAx val="605075144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0"/>
          <c:y val="0.842012213191093"/>
          <c:w val="1.0"/>
          <c:h val="0.14238950977902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Распределение ОДУ атлантическо - скандинавской сельди в 2010 году, тыс. тонн</a:t>
            </a:r>
          </a:p>
        </c:rich>
      </c:tx>
      <c:layout/>
      <c:overlay val="0"/>
      <c:spPr>
        <a:noFill/>
        <a:ln w="2542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364126182340415"/>
          <c:y val="0.200978276987852"/>
          <c:w val="0.531740550147767"/>
          <c:h val="0.781835480271586"/>
        </c:manualLayout>
      </c:layout>
      <c:pieChart>
        <c:varyColors val="1"/>
        <c:ser>
          <c:idx val="0"/>
          <c:order val="0"/>
          <c:spPr>
            <a:solidFill>
              <a:srgbClr val="4F81BD"/>
            </a:solidFill>
            <a:ln w="25424">
              <a:noFill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C0504D"/>
              </a:solidFill>
              <a:ln w="25424">
                <a:noFill/>
              </a:ln>
            </c:spPr>
          </c:dPt>
          <c:dPt>
            <c:idx val="2"/>
            <c:bubble3D val="0"/>
            <c:spPr>
              <a:solidFill>
                <a:srgbClr val="9BBB59"/>
              </a:solidFill>
              <a:ln w="25424">
                <a:noFill/>
              </a:ln>
            </c:spPr>
          </c:dPt>
          <c:dPt>
            <c:idx val="3"/>
            <c:bubble3D val="0"/>
            <c:spPr>
              <a:solidFill>
                <a:srgbClr val="8064A2"/>
              </a:solidFill>
              <a:ln w="25424">
                <a:noFill/>
              </a:ln>
            </c:spPr>
          </c:dPt>
          <c:dPt>
            <c:idx val="4"/>
            <c:bubble3D val="0"/>
            <c:spPr>
              <a:solidFill>
                <a:srgbClr val="4BACC6"/>
              </a:solidFill>
              <a:ln w="25424">
                <a:noFill/>
              </a:ln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sz="1050" b="1"/>
                      <a:t>76,5</a:t>
                    </a:r>
                    <a:endParaRPr lang="en-US" sz="1050" b="1"/>
                  </a:p>
                  <a:p>
                    <a:r>
                      <a:rPr lang="ru-RU" sz="1050" b="1"/>
                      <a:t>5%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sz="1050" b="1"/>
                      <a:t>96,5</a:t>
                    </a:r>
                    <a:endParaRPr lang="en-US" sz="1050" b="1"/>
                  </a:p>
                  <a:p>
                    <a:r>
                      <a:rPr lang="ru-RU" sz="1050" b="1"/>
                      <a:t>6%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 sz="1050" b="1"/>
                      <a:t>215,2</a:t>
                    </a:r>
                    <a:endParaRPr lang="en-US" sz="1050" b="1"/>
                  </a:p>
                  <a:p>
                    <a:r>
                      <a:rPr lang="ru-RU" sz="1050" b="1"/>
                      <a:t>14%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 sz="1050" b="1"/>
                      <a:t>904,6</a:t>
                    </a:r>
                    <a:endParaRPr lang="en-US" sz="1050" b="1"/>
                  </a:p>
                  <a:p>
                    <a:r>
                      <a:rPr lang="ru-RU" sz="1050" b="1"/>
                      <a:t>61%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 sz="1050" b="1"/>
                      <a:t>201,3</a:t>
                    </a:r>
                    <a:endParaRPr lang="en-US" sz="1050" b="1"/>
                  </a:p>
                  <a:p>
                    <a:r>
                      <a:rPr lang="ru-RU" sz="1050" b="1"/>
                      <a:t>14%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 w="25424">
                <a:noFill/>
              </a:ln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'ОДУ атл. сельдь'!$C$3:$G$3</c:f>
              <c:strCache>
                <c:ptCount val="5"/>
                <c:pt idx="0">
                  <c:v>Фареры</c:v>
                </c:pt>
                <c:pt idx="1">
                  <c:v>ЕС</c:v>
                </c:pt>
                <c:pt idx="2">
                  <c:v>Исландия</c:v>
                </c:pt>
                <c:pt idx="3">
                  <c:v>Норвегия</c:v>
                </c:pt>
                <c:pt idx="4">
                  <c:v>РФ</c:v>
                </c:pt>
              </c:strCache>
            </c:strRef>
          </c:cat>
          <c:val>
            <c:numRef>
              <c:f>'ОДУ атл. сельдь'!$C$4:$G$4</c:f>
              <c:numCache>
                <c:formatCode>0.0</c:formatCode>
                <c:ptCount val="5"/>
                <c:pt idx="0">
                  <c:v>76.52</c:v>
                </c:pt>
                <c:pt idx="1">
                  <c:v>96.54</c:v>
                </c:pt>
                <c:pt idx="2">
                  <c:v>215.18</c:v>
                </c:pt>
                <c:pt idx="3">
                  <c:v>904.63</c:v>
                </c:pt>
                <c:pt idx="4">
                  <c:v>201.29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69"/>
      </c:pieChart>
      <c:spPr>
        <a:noFill/>
        <a:ln w="25424">
          <a:noFill/>
        </a:ln>
      </c:spPr>
    </c:plotArea>
    <c:legend>
      <c:legendPos val="r"/>
      <c:layout>
        <c:manualLayout>
          <c:xMode val="edge"/>
          <c:yMode val="edge"/>
          <c:x val="0.706744868035191"/>
          <c:y val="0.343589743589744"/>
          <c:w val="0.234139683584002"/>
          <c:h val="0.392449585505733"/>
        </c:manualLayout>
      </c:layout>
      <c:overlay val="0"/>
      <c:spPr>
        <a:noFill/>
        <a:ln w="25424">
          <a:noFill/>
        </a:ln>
      </c:spPr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8">
      <a:solidFill>
        <a:srgbClr val="808080"/>
      </a:solidFill>
      <a:prstDash val="solid"/>
    </a:ln>
  </c:spPr>
  <c:txPr>
    <a:bodyPr/>
    <a:lstStyle/>
    <a:p>
      <a:pPr>
        <a:defRPr>
          <a:latin typeface="+mj-lt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Распределение ОДУ атлантическо - скандинавской сельди</a:t>
            </a:r>
            <a:r>
              <a:rPr lang="ru-RU" sz="1100" baseline="0"/>
              <a:t> в 2013 году, тыс. тонн</a:t>
            </a:r>
            <a:endParaRPr lang="ru-RU" sz="11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364126182340415"/>
          <c:y val="0.200978276987852"/>
          <c:w val="0.531740550147767"/>
          <c:h val="0.781835480271586"/>
        </c:manualLayout>
      </c:layout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'ОДУ атл. сельдь'!$C$3:$G$3</c:f>
              <c:strCache>
                <c:ptCount val="5"/>
                <c:pt idx="0">
                  <c:v>Фареры</c:v>
                </c:pt>
                <c:pt idx="1">
                  <c:v>ЕС</c:v>
                </c:pt>
                <c:pt idx="2">
                  <c:v>Исландия</c:v>
                </c:pt>
                <c:pt idx="3">
                  <c:v>Норвегия</c:v>
                </c:pt>
                <c:pt idx="4">
                  <c:v>РФ</c:v>
                </c:pt>
              </c:strCache>
            </c:strRef>
          </c:cat>
          <c:val>
            <c:numRef>
              <c:f>'ОДУ атл. сельдь'!$C$7:$G$7</c:f>
              <c:numCache>
                <c:formatCode>0.0</c:formatCode>
                <c:ptCount val="5"/>
                <c:pt idx="0">
                  <c:v>31.93831932773108</c:v>
                </c:pt>
                <c:pt idx="1">
                  <c:v>40.29816326530612</c:v>
                </c:pt>
                <c:pt idx="2">
                  <c:v>89.8181632653062</c:v>
                </c:pt>
                <c:pt idx="3">
                  <c:v>377.59</c:v>
                </c:pt>
                <c:pt idx="4">
                  <c:v>86.78632653061225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69"/>
      </c:pieChart>
    </c:plotArea>
    <c:legend>
      <c:legendPos val="r"/>
      <c:layout>
        <c:manualLayout>
          <c:xMode val="edge"/>
          <c:yMode val="edge"/>
          <c:x val="0.708386756773514"/>
          <c:y val="0.363406472660267"/>
          <c:w val="0.184321299460209"/>
          <c:h val="0.348922540056058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Российские промышленные квоты на вылов атлантической и тихоокеанской сельди в 2008-2012 годах</a:t>
            </a:r>
          </a:p>
        </c:rich>
      </c:tx>
      <c:layout/>
      <c:overlay val="0"/>
      <c:spPr>
        <a:noFill/>
        <a:ln w="2539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6187222920664"/>
          <c:y val="0.277550752584498"/>
          <c:w val="0.832514391583405"/>
          <c:h val="0.63283491349295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'Росс. пр. квоты сельдь'!$A$4</c:f>
              <c:strCache>
                <c:ptCount val="1"/>
                <c:pt idx="0">
                  <c:v>Норвегия к. (СВА)</c:v>
                </c:pt>
              </c:strCache>
            </c:strRef>
          </c:tx>
          <c:spPr>
            <a:solidFill>
              <a:srgbClr val="4F81BD"/>
            </a:solidFill>
            <a:ln w="25395">
              <a:noFill/>
            </a:ln>
          </c:spPr>
          <c:invertIfNegative val="0"/>
          <c:dLbls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'Росс. пр. квоты сельдь'!$B$3:$F$3</c:f>
              <c:numCache>
                <c:formatCode>General</c:formatCode>
                <c:ptCount val="5"/>
                <c:pt idx="0">
                  <c:v>2008.0</c:v>
                </c:pt>
                <c:pt idx="1">
                  <c:v>2009.0</c:v>
                </c:pt>
                <c:pt idx="2">
                  <c:v>2010.0</c:v>
                </c:pt>
                <c:pt idx="3">
                  <c:v>2011.0</c:v>
                </c:pt>
                <c:pt idx="4">
                  <c:v>2012.0</c:v>
                </c:pt>
              </c:numCache>
            </c:numRef>
          </c:cat>
          <c:val>
            <c:numRef>
              <c:f>'Росс. пр. квоты сельдь'!$B$4:$F$4</c:f>
              <c:numCache>
                <c:formatCode>#\ ##0.0</c:formatCode>
                <c:ptCount val="5"/>
                <c:pt idx="0">
                  <c:v>194.607</c:v>
                </c:pt>
                <c:pt idx="1">
                  <c:v>210.633</c:v>
                </c:pt>
                <c:pt idx="2">
                  <c:v>201.29</c:v>
                </c:pt>
                <c:pt idx="3">
                  <c:v>139.88</c:v>
                </c:pt>
                <c:pt idx="4">
                  <c:v>115.641</c:v>
                </c:pt>
              </c:numCache>
            </c:numRef>
          </c:val>
        </c:ser>
        <c:ser>
          <c:idx val="1"/>
          <c:order val="1"/>
          <c:tx>
            <c:strRef>
              <c:f>'Росс. пр. квоты сельдь'!$A$5</c:f>
              <c:strCache>
                <c:ptCount val="1"/>
                <c:pt idx="0">
                  <c:v>Охотское море</c:v>
                </c:pt>
              </c:strCache>
            </c:strRef>
          </c:tx>
          <c:spPr>
            <a:solidFill>
              <a:srgbClr val="C0504D"/>
            </a:solidFill>
            <a:ln w="25395">
              <a:noFill/>
            </a:ln>
          </c:spPr>
          <c:invertIfNegative val="0"/>
          <c:dLbls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'Росс. пр. квоты сельдь'!$B$3:$F$3</c:f>
              <c:numCache>
                <c:formatCode>General</c:formatCode>
                <c:ptCount val="5"/>
                <c:pt idx="0">
                  <c:v>2008.0</c:v>
                </c:pt>
                <c:pt idx="1">
                  <c:v>2009.0</c:v>
                </c:pt>
                <c:pt idx="2">
                  <c:v>2010.0</c:v>
                </c:pt>
                <c:pt idx="3">
                  <c:v>2011.0</c:v>
                </c:pt>
                <c:pt idx="4">
                  <c:v>2012.0</c:v>
                </c:pt>
              </c:numCache>
            </c:numRef>
          </c:cat>
          <c:val>
            <c:numRef>
              <c:f>'Росс. пр. квоты сельдь'!$B$5:$F$5</c:f>
              <c:numCache>
                <c:formatCode>#\ ##0.0</c:formatCode>
                <c:ptCount val="5"/>
                <c:pt idx="0">
                  <c:v>193.356</c:v>
                </c:pt>
                <c:pt idx="1">
                  <c:v>262.326</c:v>
                </c:pt>
                <c:pt idx="2">
                  <c:v>335.7259999999989</c:v>
                </c:pt>
                <c:pt idx="3">
                  <c:v>373.075</c:v>
                </c:pt>
                <c:pt idx="4">
                  <c:v>288.7959999999989</c:v>
                </c:pt>
              </c:numCache>
            </c:numRef>
          </c:val>
        </c:ser>
        <c:ser>
          <c:idx val="2"/>
          <c:order val="2"/>
          <c:tx>
            <c:strRef>
              <c:f>'Росс. пр. квоты сельдь'!$A$6</c:f>
              <c:strCache>
                <c:ptCount val="1"/>
                <c:pt idx="0">
                  <c:v>Берингово море</c:v>
                </c:pt>
              </c:strCache>
            </c:strRef>
          </c:tx>
          <c:spPr>
            <a:solidFill>
              <a:srgbClr val="9BBB59"/>
            </a:solidFill>
            <a:ln w="25395">
              <a:noFill/>
            </a:ln>
          </c:spPr>
          <c:invertIfNegative val="0"/>
          <c:dLbls>
            <c:dLbl>
              <c:idx val="4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'Росс. пр. квоты сельдь'!$B$3:$F$3</c:f>
              <c:numCache>
                <c:formatCode>General</c:formatCode>
                <c:ptCount val="5"/>
                <c:pt idx="0">
                  <c:v>2008.0</c:v>
                </c:pt>
                <c:pt idx="1">
                  <c:v>2009.0</c:v>
                </c:pt>
                <c:pt idx="2">
                  <c:v>2010.0</c:v>
                </c:pt>
                <c:pt idx="3">
                  <c:v>2011.0</c:v>
                </c:pt>
                <c:pt idx="4">
                  <c:v>2012.0</c:v>
                </c:pt>
              </c:numCache>
            </c:numRef>
          </c:cat>
          <c:val>
            <c:numRef>
              <c:f>'Росс. пр. квоты сельдь'!$B$6:$F$6</c:f>
              <c:numCache>
                <c:formatCode>#\ ##0.0</c:formatCode>
                <c:ptCount val="5"/>
                <c:pt idx="0">
                  <c:v>7.216</c:v>
                </c:pt>
                <c:pt idx="1">
                  <c:v>6.327999999999979</c:v>
                </c:pt>
                <c:pt idx="2">
                  <c:v>19.541</c:v>
                </c:pt>
                <c:pt idx="3">
                  <c:v>16.696</c:v>
                </c:pt>
                <c:pt idx="4">
                  <c:v>137.49</c:v>
                </c:pt>
              </c:numCache>
            </c:numRef>
          </c:val>
        </c:ser>
        <c:ser>
          <c:idx val="3"/>
          <c:order val="3"/>
          <c:tx>
            <c:strRef>
              <c:f>'Росс. пр. квоты сельдь'!$A$7</c:f>
              <c:strCache>
                <c:ptCount val="1"/>
                <c:pt idx="0">
                  <c:v>Остальные</c:v>
                </c:pt>
              </c:strCache>
            </c:strRef>
          </c:tx>
          <c:spPr>
            <a:solidFill>
              <a:srgbClr val="8064A2"/>
            </a:solidFill>
            <a:ln w="25395">
              <a:noFill/>
            </a:ln>
          </c:spPr>
          <c:invertIfNegative val="0"/>
          <c:cat>
            <c:numRef>
              <c:f>'Росс. пр. квоты сельдь'!$B$3:$F$3</c:f>
              <c:numCache>
                <c:formatCode>General</c:formatCode>
                <c:ptCount val="5"/>
                <c:pt idx="0">
                  <c:v>2008.0</c:v>
                </c:pt>
                <c:pt idx="1">
                  <c:v>2009.0</c:v>
                </c:pt>
                <c:pt idx="2">
                  <c:v>2010.0</c:v>
                </c:pt>
                <c:pt idx="3">
                  <c:v>2011.0</c:v>
                </c:pt>
                <c:pt idx="4">
                  <c:v>2012.0</c:v>
                </c:pt>
              </c:numCache>
            </c:numRef>
          </c:cat>
          <c:val>
            <c:numRef>
              <c:f>'Росс. пр. квоты сельдь'!$B$7:$F$7</c:f>
              <c:numCache>
                <c:formatCode>#\ ##0.0</c:formatCode>
                <c:ptCount val="5"/>
                <c:pt idx="0">
                  <c:v>1.776</c:v>
                </c:pt>
                <c:pt idx="1">
                  <c:v>1.055</c:v>
                </c:pt>
                <c:pt idx="2">
                  <c:v>0.974</c:v>
                </c:pt>
                <c:pt idx="3">
                  <c:v>0.286</c:v>
                </c:pt>
                <c:pt idx="4">
                  <c:v>0.091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534840"/>
        <c:axId val="449655496"/>
      </c:barChart>
      <c:catAx>
        <c:axId val="1534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74">
            <a:solidFill>
              <a:srgbClr val="808080"/>
            </a:solidFill>
            <a:prstDash val="solid"/>
          </a:ln>
        </c:spPr>
        <c:crossAx val="449655496"/>
        <c:crosses val="autoZero"/>
        <c:auto val="1"/>
        <c:lblAlgn val="ctr"/>
        <c:lblOffset val="100"/>
        <c:noMultiLvlLbl val="0"/>
      </c:catAx>
      <c:valAx>
        <c:axId val="449655496"/>
        <c:scaling>
          <c:orientation val="minMax"/>
        </c:scaling>
        <c:delete val="0"/>
        <c:axPos val="l"/>
        <c:numFmt formatCode="#\ ##0.0" sourceLinked="1"/>
        <c:majorTickMark val="none"/>
        <c:minorTickMark val="none"/>
        <c:tickLblPos val="nextTo"/>
        <c:spPr>
          <a:ln w="9523">
            <a:noFill/>
          </a:ln>
        </c:spPr>
        <c:crossAx val="1534840"/>
        <c:crosses val="autoZero"/>
        <c:crossBetween val="between"/>
      </c:valAx>
      <c:spPr>
        <a:solidFill>
          <a:srgbClr val="FFFFFF"/>
        </a:solidFill>
        <a:ln w="25395">
          <a:noFill/>
        </a:ln>
      </c:spPr>
    </c:plotArea>
    <c:legend>
      <c:legendPos val="r"/>
      <c:layout>
        <c:manualLayout>
          <c:xMode val="edge"/>
          <c:yMode val="edge"/>
          <c:x val="0.10181234583662"/>
          <c:y val="0.202415201455523"/>
          <c:w val="0.854227028801481"/>
          <c:h val="0.0612244897959181"/>
        </c:manualLayout>
      </c:layout>
      <c:overlay val="0"/>
      <c:spPr>
        <a:noFill/>
        <a:ln w="25395">
          <a:noFill/>
        </a:ln>
      </c:spPr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4">
      <a:solidFill>
        <a:srgbClr val="808080"/>
      </a:solidFill>
      <a:prstDash val="solid"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Динамика цены на норвежскую атлантическую сельдь 300+ в 2011-2013 годах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83834589483654"/>
          <c:y val="0.165870035476335"/>
          <c:w val="0.893739314695755"/>
          <c:h val="0.574301000836434"/>
        </c:manualLayout>
      </c:layout>
      <c:lineChart>
        <c:grouping val="standard"/>
        <c:varyColors val="0"/>
        <c:ser>
          <c:idx val="2"/>
          <c:order val="0"/>
          <c:tx>
            <c:strRef>
              <c:f>'Цена на норв сельдь'!$A$6</c:f>
              <c:strCache>
                <c:ptCount val="1"/>
                <c:pt idx="0">
                  <c:v>Норвегия</c:v>
                </c:pt>
              </c:strCache>
            </c:strRef>
          </c:tx>
          <c:marker>
            <c:symbol val="square"/>
            <c:size val="4"/>
          </c:marker>
          <c:dLbls>
            <c:dLbl>
              <c:idx val="1"/>
              <c:delete val="1"/>
            </c:dLbl>
            <c:dLbl>
              <c:idx val="3"/>
              <c:delete val="1"/>
            </c:dLbl>
            <c:dLbl>
              <c:idx val="5"/>
              <c:delete val="1"/>
            </c:dLbl>
            <c:dLbl>
              <c:idx val="7"/>
              <c:delete val="1"/>
            </c:dLbl>
            <c:dLbl>
              <c:idx val="9"/>
              <c:delete val="1"/>
            </c:dLbl>
            <c:dLbl>
              <c:idx val="11"/>
              <c:delete val="1"/>
            </c:dLbl>
            <c:dLbl>
              <c:idx val="13"/>
              <c:delete val="1"/>
            </c:dLbl>
            <c:dLbl>
              <c:idx val="15"/>
              <c:delete val="1"/>
            </c:dLbl>
            <c:dLbl>
              <c:idx val="17"/>
              <c:delete val="1"/>
            </c:dLbl>
            <c:dLbl>
              <c:idx val="19"/>
              <c:delete val="1"/>
            </c:dLbl>
            <c:dLbl>
              <c:idx val="21"/>
              <c:delete val="1"/>
            </c:dLbl>
            <c:dLbl>
              <c:idx val="23"/>
              <c:delete val="1"/>
            </c:dLbl>
            <c:dLbl>
              <c:idx val="25"/>
              <c:delete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'Цена на норв сельдь'!$B$3:$AB$4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2011</c:v>
                  </c:pt>
                  <c:pt idx="12">
                    <c:v>2012</c:v>
                  </c:pt>
                  <c:pt idx="24">
                    <c:v>2013</c:v>
                  </c:pt>
                </c:lvl>
              </c:multiLvlStrCache>
            </c:multiLvlStrRef>
          </c:cat>
          <c:val>
            <c:numRef>
              <c:f>'Цена на норв сельдь'!$B$6:$AB$6</c:f>
              <c:numCache>
                <c:formatCode>General</c:formatCode>
                <c:ptCount val="27"/>
                <c:pt idx="0">
                  <c:v>39.0</c:v>
                </c:pt>
                <c:pt idx="1">
                  <c:v>41.0</c:v>
                </c:pt>
                <c:pt idx="2">
                  <c:v>47.0</c:v>
                </c:pt>
                <c:pt idx="3">
                  <c:v>49.0</c:v>
                </c:pt>
                <c:pt idx="4">
                  <c:v>49.0</c:v>
                </c:pt>
                <c:pt idx="5">
                  <c:v>48.0</c:v>
                </c:pt>
                <c:pt idx="6">
                  <c:v>49.0</c:v>
                </c:pt>
                <c:pt idx="7">
                  <c:v>46.0</c:v>
                </c:pt>
                <c:pt idx="8">
                  <c:v>57.0</c:v>
                </c:pt>
                <c:pt idx="9">
                  <c:v>56.0</c:v>
                </c:pt>
                <c:pt idx="10">
                  <c:v>56.0</c:v>
                </c:pt>
                <c:pt idx="11">
                  <c:v>56.0</c:v>
                </c:pt>
                <c:pt idx="12">
                  <c:v>56.0</c:v>
                </c:pt>
                <c:pt idx="13">
                  <c:v>55.0</c:v>
                </c:pt>
                <c:pt idx="14">
                  <c:v>53.0</c:v>
                </c:pt>
                <c:pt idx="15">
                  <c:v>55.0</c:v>
                </c:pt>
                <c:pt idx="16">
                  <c:v>55.0</c:v>
                </c:pt>
                <c:pt idx="17">
                  <c:v>55.0</c:v>
                </c:pt>
                <c:pt idx="18">
                  <c:v>57.0</c:v>
                </c:pt>
                <c:pt idx="19">
                  <c:v>62.0</c:v>
                </c:pt>
                <c:pt idx="20">
                  <c:v>65.0</c:v>
                </c:pt>
                <c:pt idx="21">
                  <c:v>67.0</c:v>
                </c:pt>
                <c:pt idx="22">
                  <c:v>67.0</c:v>
                </c:pt>
                <c:pt idx="23">
                  <c:v>70.0</c:v>
                </c:pt>
                <c:pt idx="24">
                  <c:v>70.0</c:v>
                </c:pt>
                <c:pt idx="25">
                  <c:v>68.0</c:v>
                </c:pt>
                <c:pt idx="26">
                  <c:v>69.0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5525208"/>
        <c:axId val="435522168"/>
      </c:lineChart>
      <c:catAx>
        <c:axId val="435525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35522168"/>
        <c:crosses val="autoZero"/>
        <c:auto val="1"/>
        <c:lblAlgn val="ctr"/>
        <c:lblOffset val="100"/>
        <c:noMultiLvlLbl val="0"/>
      </c:catAx>
      <c:valAx>
        <c:axId val="4355221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Цена, руб/кг</a:t>
                </a:r>
              </a:p>
            </c:rich>
          </c:tx>
          <c:layout>
            <c:manualLayout>
              <c:xMode val="edge"/>
              <c:yMode val="edge"/>
              <c:x val="0.00407747196738022"/>
              <c:y val="0.366857604337919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4355252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Импорт в РФ охлажденной рыбной продукции в 2004 - 2012 гг., тыс. тонн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594452312166015"/>
          <c:y val="0.145160762529383"/>
          <c:w val="0.919451651277403"/>
          <c:h val="0.7232404970154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'Импорт филе и охажд.'!$A$4</c:f>
              <c:strCache>
                <c:ptCount val="1"/>
                <c:pt idx="0">
                  <c:v>Филе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'Импорт филе и охажд.'!$B$3:$J$3</c:f>
              <c:numCache>
                <c:formatCode>General</c:formatCode>
                <c:ptCount val="9"/>
                <c:pt idx="0">
                  <c:v>2004.0</c:v>
                </c:pt>
                <c:pt idx="1">
                  <c:v>2005.0</c:v>
                </c:pt>
                <c:pt idx="2">
                  <c:v>2006.0</c:v>
                </c:pt>
                <c:pt idx="3">
                  <c:v>2007.0</c:v>
                </c:pt>
                <c:pt idx="4">
                  <c:v>2008.0</c:v>
                </c:pt>
                <c:pt idx="5">
                  <c:v>2009.0</c:v>
                </c:pt>
                <c:pt idx="6">
                  <c:v>2010.0</c:v>
                </c:pt>
                <c:pt idx="7">
                  <c:v>2011.0</c:v>
                </c:pt>
                <c:pt idx="8">
                  <c:v>2012.0</c:v>
                </c:pt>
              </c:numCache>
            </c:numRef>
          </c:cat>
          <c:val>
            <c:numRef>
              <c:f>'Импорт филе и охажд.'!$B$5:$J$5</c:f>
              <c:numCache>
                <c:formatCode>General</c:formatCode>
                <c:ptCount val="9"/>
                <c:pt idx="0">
                  <c:v>28.0</c:v>
                </c:pt>
                <c:pt idx="1">
                  <c:v>41.3</c:v>
                </c:pt>
                <c:pt idx="2">
                  <c:v>24.1</c:v>
                </c:pt>
                <c:pt idx="3">
                  <c:v>60.5</c:v>
                </c:pt>
                <c:pt idx="4">
                  <c:v>78.5</c:v>
                </c:pt>
                <c:pt idx="5">
                  <c:v>89.5</c:v>
                </c:pt>
                <c:pt idx="6">
                  <c:v>103.7</c:v>
                </c:pt>
                <c:pt idx="7">
                  <c:v>128.0</c:v>
                </c:pt>
                <c:pt idx="8">
                  <c:v>167.0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-25"/>
        <c:axId val="435714696"/>
        <c:axId val="435717672"/>
      </c:barChart>
      <c:catAx>
        <c:axId val="435714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35717672"/>
        <c:crosses val="autoZero"/>
        <c:auto val="1"/>
        <c:lblAlgn val="ctr"/>
        <c:lblOffset val="100"/>
        <c:noMultiLvlLbl val="0"/>
      </c:catAx>
      <c:valAx>
        <c:axId val="4357176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4357146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0.92981</cdr:y>
    </cdr:from>
    <cdr:to>
      <cdr:x>0.54574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3732991"/>
          <a:ext cx="3295650" cy="2817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Источник: Камчатский</a:t>
          </a:r>
          <a:r>
            <a:rPr lang="ru-RU" sz="900" baseline="0"/>
            <a:t> филиал ФГБУ "ЦСМС", ФАР</a:t>
          </a:r>
          <a:endParaRPr lang="ru-RU" sz="9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0.00044</cdr:x>
      <cdr:y>0.94552</cdr:y>
    </cdr:from>
    <cdr:to>
      <cdr:x>0.95</cdr:x>
      <cdr:y>0.99375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66" y="3967164"/>
          <a:ext cx="5969410" cy="2023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Источник: Камчатский</a:t>
          </a:r>
          <a:r>
            <a:rPr lang="ru-RU" sz="900" baseline="0"/>
            <a:t> филиал ФГБУ "ЦСМС", Дальневосточное таможенное управление"</a:t>
          </a:r>
          <a:endParaRPr lang="ru-RU" sz="9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0.01871</cdr:x>
      <cdr:y>0.93251</cdr:y>
    </cdr:from>
    <cdr:to>
      <cdr:x>0.76631</cdr:x>
      <cdr:y>0.98496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9620" y="2966037"/>
          <a:ext cx="3980601" cy="1668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Источник:</a:t>
          </a:r>
          <a:r>
            <a:rPr lang="ru-RU" sz="800" baseline="0"/>
            <a:t> Федеральное агентство государственной статистики</a:t>
          </a:r>
          <a:endParaRPr lang="ru-RU" sz="8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0.01871</cdr:x>
      <cdr:y>0.93251</cdr:y>
    </cdr:from>
    <cdr:to>
      <cdr:x>0.70831</cdr:x>
      <cdr:y>0.98496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9050" y="2966037"/>
          <a:ext cx="3650757" cy="1668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Источник:</a:t>
          </a:r>
          <a:r>
            <a:rPr lang="ru-RU" sz="800" baseline="0"/>
            <a:t> Федеральное агентство государственной статистики</a:t>
          </a:r>
          <a:endParaRPr lang="ru-RU" sz="800"/>
        </a:p>
      </cdr:txBody>
    </cdr:sp>
  </cdr:relSizeAnchor>
</c:userShape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451C094DDC95408B75364777F6C9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36B1F4-8723-EF41-AFB1-25F5F4873456}"/>
      </w:docPartPr>
      <w:docPartBody>
        <w:p w:rsidR="00742169" w:rsidRDefault="00742169" w:rsidP="00742169">
          <w:pPr>
            <w:pStyle w:val="74451C094DDC95408B75364777F6C9E0"/>
          </w:pPr>
          <w:r>
            <w:t>[Введите текст]</w:t>
          </w:r>
        </w:p>
      </w:docPartBody>
    </w:docPart>
    <w:docPart>
      <w:docPartPr>
        <w:name w:val="94629FAD3E7C6542A7F591E9CACA68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250D98-053F-284D-8807-80DD0C83285C}"/>
      </w:docPartPr>
      <w:docPartBody>
        <w:p w:rsidR="00742169" w:rsidRDefault="00742169" w:rsidP="00742169">
          <w:pPr>
            <w:pStyle w:val="94629FAD3E7C6542A7F591E9CACA6853"/>
          </w:pPr>
          <w:r>
            <w:t>[Введите текст]</w:t>
          </w:r>
        </w:p>
      </w:docPartBody>
    </w:docPart>
    <w:docPart>
      <w:docPartPr>
        <w:name w:val="5E5F8A0E3BE6DA4CA9186E4BA854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17416B-C3EE-B24D-B3E3-FEADF3A6EADD}"/>
      </w:docPartPr>
      <w:docPartBody>
        <w:p w:rsidR="00742169" w:rsidRDefault="00742169" w:rsidP="00742169">
          <w:pPr>
            <w:pStyle w:val="5E5F8A0E3BE6DA4CA9186E4BA854F270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69"/>
    <w:rsid w:val="006771EA"/>
    <w:rsid w:val="00742169"/>
    <w:rsid w:val="00B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4451C094DDC95408B75364777F6C9E0">
    <w:name w:val="74451C094DDC95408B75364777F6C9E0"/>
    <w:rsid w:val="00742169"/>
  </w:style>
  <w:style w:type="paragraph" w:customStyle="1" w:styleId="94629FAD3E7C6542A7F591E9CACA6853">
    <w:name w:val="94629FAD3E7C6542A7F591E9CACA6853"/>
    <w:rsid w:val="00742169"/>
  </w:style>
  <w:style w:type="paragraph" w:customStyle="1" w:styleId="5E5F8A0E3BE6DA4CA9186E4BA854F270">
    <w:name w:val="5E5F8A0E3BE6DA4CA9186E4BA854F270"/>
    <w:rsid w:val="00742169"/>
  </w:style>
  <w:style w:type="paragraph" w:customStyle="1" w:styleId="8A52BD937E28A6439F823071D70737FA">
    <w:name w:val="8A52BD937E28A6439F823071D70737FA"/>
    <w:rsid w:val="00742169"/>
  </w:style>
  <w:style w:type="paragraph" w:customStyle="1" w:styleId="32059433285DC742AD4C82E94F29B85B">
    <w:name w:val="32059433285DC742AD4C82E94F29B85B"/>
    <w:rsid w:val="00742169"/>
  </w:style>
  <w:style w:type="paragraph" w:customStyle="1" w:styleId="B255517885B9FA41A5101F9332D5DCA5">
    <w:name w:val="B255517885B9FA41A5101F9332D5DCA5"/>
    <w:rsid w:val="0074216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4451C094DDC95408B75364777F6C9E0">
    <w:name w:val="74451C094DDC95408B75364777F6C9E0"/>
    <w:rsid w:val="00742169"/>
  </w:style>
  <w:style w:type="paragraph" w:customStyle="1" w:styleId="94629FAD3E7C6542A7F591E9CACA6853">
    <w:name w:val="94629FAD3E7C6542A7F591E9CACA6853"/>
    <w:rsid w:val="00742169"/>
  </w:style>
  <w:style w:type="paragraph" w:customStyle="1" w:styleId="5E5F8A0E3BE6DA4CA9186E4BA854F270">
    <w:name w:val="5E5F8A0E3BE6DA4CA9186E4BA854F270"/>
    <w:rsid w:val="00742169"/>
  </w:style>
  <w:style w:type="paragraph" w:customStyle="1" w:styleId="8A52BD937E28A6439F823071D70737FA">
    <w:name w:val="8A52BD937E28A6439F823071D70737FA"/>
    <w:rsid w:val="00742169"/>
  </w:style>
  <w:style w:type="paragraph" w:customStyle="1" w:styleId="32059433285DC742AD4C82E94F29B85B">
    <w:name w:val="32059433285DC742AD4C82E94F29B85B"/>
    <w:rsid w:val="00742169"/>
  </w:style>
  <w:style w:type="paragraph" w:customStyle="1" w:styleId="B255517885B9FA41A5101F9332D5DCA5">
    <w:name w:val="B255517885B9FA41A5101F9332D5DCA5"/>
    <w:rsid w:val="007421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784D75-D9DF-A246-B73C-43686DE1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4850</Words>
  <Characters>27645</Characters>
  <Application>Microsoft Macintosh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Зверев</dc:creator>
  <cp:lastModifiedBy>Герман Зверев</cp:lastModifiedBy>
  <cp:revision>3</cp:revision>
  <cp:lastPrinted>2013-04-10T23:35:00Z</cp:lastPrinted>
  <dcterms:created xsi:type="dcterms:W3CDTF">2013-05-07T22:26:00Z</dcterms:created>
  <dcterms:modified xsi:type="dcterms:W3CDTF">2013-05-08T00:22:00Z</dcterms:modified>
</cp:coreProperties>
</file>