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A" w:rsidRPr="00022895" w:rsidRDefault="00022895" w:rsidP="00022895">
      <w:pPr>
        <w:spacing w:line="240" w:lineRule="auto"/>
        <w:ind w:firstLine="0"/>
        <w:jc w:val="center"/>
        <w:rPr>
          <w:b/>
        </w:rPr>
      </w:pPr>
      <w:r w:rsidRPr="00022895">
        <w:rPr>
          <w:b/>
        </w:rPr>
        <w:t>Основные предложения и замечания по Плану первоочередных мероприятий по обеспечению устойчивого развития экономики и социальной стабильности в 2015 году</w:t>
      </w:r>
    </w:p>
    <w:p w:rsidR="00022895" w:rsidRDefault="00022895"/>
    <w:p w:rsidR="00AB68E7" w:rsidRDefault="00AB68E7" w:rsidP="00CF25C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Антикризисный план Правительства до его утверждения вообще не обсуждался с бизнесом, поэтому РСПП подготовил свой вариант перечня антикризисных мер. Он пересекается с планом, который подготовил Минэкономразвития России, но лишь частично. В утвержденном Правительством </w:t>
      </w:r>
      <w:proofErr w:type="gramStart"/>
      <w:r>
        <w:t>плане</w:t>
      </w:r>
      <w:proofErr w:type="gramEnd"/>
      <w:r>
        <w:t xml:space="preserve"> есть ряд принципиальных проблем, которые необходимо устранить.</w:t>
      </w:r>
    </w:p>
    <w:p w:rsidR="00CF25C6" w:rsidRDefault="00022895" w:rsidP="00CF25C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Необходим </w:t>
      </w:r>
      <w:r w:rsidRPr="00DF5B0B">
        <w:rPr>
          <w:b/>
          <w:u w:val="single"/>
        </w:rPr>
        <w:t>совместный антикризисный план Банка России и Правительства России</w:t>
      </w:r>
      <w:r>
        <w:t>, в противном случае план будет недостаточно эффективным и несбалансированным</w:t>
      </w:r>
      <w:r w:rsidR="00CF25C6">
        <w:t>.</w:t>
      </w:r>
    </w:p>
    <w:p w:rsidR="00022895" w:rsidRDefault="00CF25C6" w:rsidP="00CF25C6">
      <w:pPr>
        <w:ind w:firstLine="708"/>
        <w:jc w:val="both"/>
      </w:pPr>
      <w:proofErr w:type="gramStart"/>
      <w:r>
        <w:t>П</w:t>
      </w:r>
      <w:r w:rsidR="00681ED0">
        <w:t xml:space="preserve">ример – </w:t>
      </w:r>
      <w:r w:rsidR="00681ED0" w:rsidRPr="00DF5B0B">
        <w:rPr>
          <w:b/>
        </w:rPr>
        <w:t xml:space="preserve">постепенное снижение ключевой ставки с определением четких критериев данной политики </w:t>
      </w:r>
      <w:r w:rsidRPr="00DF5B0B">
        <w:rPr>
          <w:b/>
        </w:rPr>
        <w:t xml:space="preserve">для экономики в целом является более </w:t>
      </w:r>
      <w:r w:rsidR="00681ED0" w:rsidRPr="00DF5B0B">
        <w:rPr>
          <w:b/>
        </w:rPr>
        <w:t>важн</w:t>
      </w:r>
      <w:r w:rsidRPr="00DF5B0B">
        <w:rPr>
          <w:b/>
        </w:rPr>
        <w:t>ой и системной мерой</w:t>
      </w:r>
      <w:r w:rsidR="00681ED0" w:rsidRPr="00DF5B0B">
        <w:t>,</w:t>
      </w:r>
      <w:r w:rsidR="00681ED0">
        <w:t xml:space="preserve"> чем «создание условий для использования при реализации отдельных мероприятий ключевой ставки Банка России в качестве базового индикатора</w:t>
      </w:r>
      <w:r>
        <w:t>» (пункт 10) или субсидирование процентных ставок для отдельных отраслей</w:t>
      </w:r>
      <w:r w:rsidR="00681ED0">
        <w:t xml:space="preserve"> </w:t>
      </w:r>
      <w:r>
        <w:t>(пункт 12)</w:t>
      </w:r>
      <w:r w:rsidR="00022895">
        <w:t>.</w:t>
      </w:r>
      <w:proofErr w:type="gramEnd"/>
    </w:p>
    <w:p w:rsidR="00DF5B0B" w:rsidRDefault="00DF5B0B" w:rsidP="00CF25C6">
      <w:pPr>
        <w:ind w:firstLine="708"/>
        <w:jc w:val="both"/>
      </w:pPr>
      <w:r>
        <w:t>При этом есть альтернативные решения для ситуации, когда невозможно быстрое снижение ставки:</w:t>
      </w:r>
    </w:p>
    <w:p w:rsidR="00DF5B0B" w:rsidRDefault="00DF5B0B" w:rsidP="00CF25C6">
      <w:pPr>
        <w:ind w:firstLine="708"/>
        <w:jc w:val="both"/>
      </w:pPr>
      <w:r w:rsidRPr="00DF5B0B">
        <w:t xml:space="preserve">Банку России целесообразно при определении ставок для поддержки долгосрочных проектов исходить из </w:t>
      </w:r>
      <w:proofErr w:type="spellStart"/>
      <w:r w:rsidRPr="00DF5B0B">
        <w:t>таргетируемого</w:t>
      </w:r>
      <w:proofErr w:type="spellEnd"/>
      <w:r w:rsidRPr="00DF5B0B">
        <w:t xml:space="preserve"> уровня инфляции (4 % в 2017 году) – по аналогии с</w:t>
      </w:r>
      <w:r>
        <w:t xml:space="preserve"> программами для малого бизнеса;</w:t>
      </w:r>
    </w:p>
    <w:p w:rsidR="00DF5B0B" w:rsidRDefault="00DF5B0B" w:rsidP="00CF25C6">
      <w:pPr>
        <w:ind w:firstLine="708"/>
        <w:jc w:val="both"/>
      </w:pPr>
      <w:r w:rsidRPr="00DF5B0B">
        <w:t xml:space="preserve">использование Банком России </w:t>
      </w:r>
      <w:proofErr w:type="spellStart"/>
      <w:r w:rsidRPr="00DF5B0B">
        <w:t>квазирыночного</w:t>
      </w:r>
      <w:proofErr w:type="spellEnd"/>
      <w:r w:rsidRPr="00DF5B0B">
        <w:t xml:space="preserve"> канала для направления через банки в промышленный сектор средств, необходимых компаниям для реализации проектов и финансового оздоровления (с четко зафиксированными ограничениями по использованию средств и уровню ставки)</w:t>
      </w:r>
      <w:r>
        <w:t xml:space="preserve"> – более широкая мера, чем предусмотрено антикризисным планом.</w:t>
      </w:r>
    </w:p>
    <w:p w:rsidR="00F34B07" w:rsidRDefault="00F34B07" w:rsidP="00CF25C6">
      <w:pPr>
        <w:ind w:firstLine="708"/>
        <w:jc w:val="both"/>
      </w:pPr>
      <w:r>
        <w:t xml:space="preserve">Есть ряд других предложений по денежно-кредитной и банковской сфере, которые необходимо реализовать для повышения доступности заемных </w:t>
      </w:r>
      <w:r>
        <w:lastRenderedPageBreak/>
        <w:t>средств, обеспечения стабильности функционирования платежной системы (особенно в случае усиления санкций), смягчения регулирования для банков, но в формат плана исключительно Правительства РФ данные меры не укладываются, хотя РСПП готово их представить.</w:t>
      </w:r>
    </w:p>
    <w:p w:rsidR="00022895" w:rsidRDefault="00022895" w:rsidP="00CF25C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Предложения по </w:t>
      </w:r>
      <w:proofErr w:type="spellStart"/>
      <w:r>
        <w:t>докапитализации</w:t>
      </w:r>
      <w:proofErr w:type="spellEnd"/>
      <w:r>
        <w:t xml:space="preserve"> системно значимых кредитных организаций (пункт 2 плана) должны </w:t>
      </w:r>
      <w:r w:rsidRPr="00CF25C6">
        <w:rPr>
          <w:b/>
        </w:rPr>
        <w:t>распространяться на системно значимые региональные банки</w:t>
      </w:r>
      <w:r w:rsidR="00CF25C6">
        <w:rPr>
          <w:b/>
        </w:rPr>
        <w:t xml:space="preserve"> (с величиной активов более 10 млрд. руб.)</w:t>
      </w:r>
      <w:r>
        <w:t>, поскольку устойчивость их функционирования непосредственно связана с деятельности малого и среднего бизнеса в регионах.</w:t>
      </w:r>
    </w:p>
    <w:p w:rsidR="00CF25C6" w:rsidRDefault="00CF25C6" w:rsidP="00CF25C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Чрезвычайно </w:t>
      </w:r>
      <w:r w:rsidRPr="00DF5B0B">
        <w:rPr>
          <w:b/>
        </w:rPr>
        <w:t>важной мерой является введение двухлетних каникул по уплате обязательных страховых платежей по страхованию ответственности владельцев опасных объектов и подготовка предложений по совершенствованию механизма страхования</w:t>
      </w:r>
      <w:r w:rsidR="00DF5B0B">
        <w:rPr>
          <w:b/>
        </w:rPr>
        <w:t xml:space="preserve"> </w:t>
      </w:r>
      <w:r w:rsidR="00DF5B0B">
        <w:t>(пункт 21)</w:t>
      </w:r>
      <w:r>
        <w:t xml:space="preserve">. РСПП неоднократно говорило о необходимости реализации данной меры. </w:t>
      </w:r>
    </w:p>
    <w:p w:rsidR="00072C1F" w:rsidRDefault="00CF25C6" w:rsidP="00F2591D">
      <w:pPr>
        <w:ind w:firstLine="708"/>
        <w:jc w:val="both"/>
      </w:pPr>
      <w:r>
        <w:t xml:space="preserve">Вместе с тем, целесообразно поставить вопрос о </w:t>
      </w:r>
      <w:r w:rsidRPr="00DF5B0B">
        <w:rPr>
          <w:b/>
        </w:rPr>
        <w:t>годичном моратории на реализацию принятых решений о повышении нагрузки в рамках системы обязательного социального страхования</w:t>
      </w:r>
      <w:r w:rsidR="00072C1F">
        <w:t>:</w:t>
      </w:r>
    </w:p>
    <w:p w:rsidR="00072C1F" w:rsidRDefault="00F2591D" w:rsidP="00F2591D">
      <w:pPr>
        <w:ind w:firstLine="708"/>
        <w:jc w:val="both"/>
      </w:pPr>
      <w:r>
        <w:t xml:space="preserve">ввести мораторий на 2015 год на увеличение предельного размера базы, с которой исчисляются страховые взносы по ставке 22% в ПФР, определив размер базы на уровне 2014 г.; </w:t>
      </w:r>
    </w:p>
    <w:p w:rsidR="00022895" w:rsidRDefault="00F2591D" w:rsidP="00F2591D">
      <w:pPr>
        <w:ind w:firstLine="708"/>
        <w:jc w:val="both"/>
      </w:pPr>
      <w:r>
        <w:t>вернуть предельный размер облагаемой базы для начисления страховых взносов в ФФОМС, который отменен с 01.01.2015.</w:t>
      </w:r>
    </w:p>
    <w:p w:rsidR="00AE061D" w:rsidRDefault="00F2591D" w:rsidP="00AE061D">
      <w:pPr>
        <w:pStyle w:val="a3"/>
        <w:numPr>
          <w:ilvl w:val="0"/>
          <w:numId w:val="1"/>
        </w:numPr>
        <w:ind w:left="0" w:firstLine="709"/>
        <w:jc w:val="both"/>
      </w:pPr>
      <w:r w:rsidRPr="00DF5B0B">
        <w:rPr>
          <w:b/>
        </w:rPr>
        <w:t>Есть намного более широкий перечень нормативных правовых актов, вступающих в силу в 2015 году и необоснованно увеличивающих административную и финансовую нагрузку на бизнес</w:t>
      </w:r>
      <w:r>
        <w:t xml:space="preserve"> (пункт 22), </w:t>
      </w:r>
      <w:r w:rsidRPr="00DF5B0B">
        <w:rPr>
          <w:b/>
        </w:rPr>
        <w:t>действие которых также надо приостановить</w:t>
      </w:r>
      <w:r w:rsidR="00D84A04" w:rsidRPr="00DF5B0B">
        <w:rPr>
          <w:b/>
        </w:rPr>
        <w:t xml:space="preserve"> как</w:t>
      </w:r>
      <w:r w:rsidRPr="00DF5B0B">
        <w:rPr>
          <w:b/>
        </w:rPr>
        <w:t xml:space="preserve"> минимум на 2015 год</w:t>
      </w:r>
      <w:r>
        <w:t>.</w:t>
      </w:r>
      <w:r w:rsidR="006B5C27">
        <w:t xml:space="preserve"> РСПП готов его предоставить.</w:t>
      </w:r>
      <w:r w:rsidR="00AE061D">
        <w:t xml:space="preserve"> </w:t>
      </w:r>
    </w:p>
    <w:p w:rsidR="00F2591D" w:rsidRDefault="00AE061D" w:rsidP="00AE061D">
      <w:pPr>
        <w:ind w:firstLine="708"/>
        <w:jc w:val="both"/>
      </w:pPr>
      <w:proofErr w:type="gramStart"/>
      <w:r w:rsidRPr="00F34B07">
        <w:rPr>
          <w:b/>
          <w:u w:val="single"/>
        </w:rPr>
        <w:t>В целом необходима фиксация условий деятельности компаний в 2015</w:t>
      </w:r>
      <w:r w:rsidR="00C207F1" w:rsidRPr="00F34B07">
        <w:rPr>
          <w:b/>
          <w:u w:val="single"/>
        </w:rPr>
        <w:t xml:space="preserve"> </w:t>
      </w:r>
      <w:r w:rsidRPr="00F34B07">
        <w:rPr>
          <w:b/>
          <w:u w:val="single"/>
        </w:rPr>
        <w:t>г. на уровне 2014 года</w:t>
      </w:r>
      <w:r>
        <w:t xml:space="preserve"> - </w:t>
      </w:r>
      <w:r w:rsidRPr="00AE061D">
        <w:t>мораторий на уже п</w:t>
      </w:r>
      <w:r w:rsidR="00C207F1">
        <w:t>ринятые и вступающие в силу с 1 </w:t>
      </w:r>
      <w:r w:rsidRPr="00AE061D">
        <w:t xml:space="preserve">января 2015 г. решения по увеличению фискальной и </w:t>
      </w:r>
      <w:r w:rsidRPr="00AE061D">
        <w:lastRenderedPageBreak/>
        <w:t>административной нагрузке, включая как федеральные законы (например, возврат следователям права возбуждать уголовные дела по налоговым преступлениям), так и подзаконные акты.</w:t>
      </w:r>
      <w:proofErr w:type="gramEnd"/>
      <w:r w:rsidRPr="00AE061D">
        <w:t xml:space="preserve"> </w:t>
      </w:r>
      <w:r>
        <w:t>Требуется у</w:t>
      </w:r>
      <w:r w:rsidRPr="00AE061D">
        <w:t xml:space="preserve">вязка ранее принятых решений (например, по контролируемым иностранным компаниям) с предлагаемыми новыми мерами (налоговая амнистия). </w:t>
      </w:r>
    </w:p>
    <w:p w:rsidR="00DF5B0B" w:rsidRDefault="00D84A04" w:rsidP="00DF5B0B">
      <w:pPr>
        <w:pStyle w:val="a3"/>
        <w:numPr>
          <w:ilvl w:val="0"/>
          <w:numId w:val="1"/>
        </w:numPr>
        <w:ind w:left="0" w:firstLine="709"/>
        <w:jc w:val="both"/>
      </w:pPr>
      <w:r>
        <w:t>Предложения по снижению фискальной и административной нагрузки на</w:t>
      </w:r>
      <w:r w:rsidR="00072C1F">
        <w:t xml:space="preserve"> малый и средний </w:t>
      </w:r>
      <w:r>
        <w:t xml:space="preserve">бизнес правильны, </w:t>
      </w:r>
      <w:r w:rsidR="00DF5B0B">
        <w:t>но есть ряд замечаний.</w:t>
      </w:r>
    </w:p>
    <w:p w:rsidR="00180C3F" w:rsidRDefault="00DF5B0B" w:rsidP="00180C3F">
      <w:pPr>
        <w:ind w:firstLine="708"/>
        <w:jc w:val="both"/>
      </w:pPr>
      <w:r>
        <w:t>- В</w:t>
      </w:r>
      <w:r w:rsidR="00072C1F">
        <w:t xml:space="preserve"> первую очередь </w:t>
      </w:r>
      <w:r>
        <w:t>предложения</w:t>
      </w:r>
      <w:r w:rsidR="00072C1F">
        <w:t xml:space="preserve"> распространяются на малый бизнес (и даже </w:t>
      </w:r>
      <w:proofErr w:type="spellStart"/>
      <w:r w:rsidR="00072C1F">
        <w:t>микробизнес</w:t>
      </w:r>
      <w:proofErr w:type="spellEnd"/>
      <w:r w:rsidR="00072C1F">
        <w:t>).</w:t>
      </w:r>
      <w:r w:rsidR="00180C3F">
        <w:t xml:space="preserve"> </w:t>
      </w:r>
      <w:r w:rsidR="00180C3F" w:rsidRPr="00F34B07">
        <w:rPr>
          <w:b/>
          <w:u w:val="single"/>
        </w:rPr>
        <w:t>Считаем необходимым вернуться к обсу</w:t>
      </w:r>
      <w:r w:rsidR="00F34B07" w:rsidRPr="00F34B07">
        <w:rPr>
          <w:b/>
          <w:u w:val="single"/>
        </w:rPr>
        <w:t xml:space="preserve">ждению стимулов для повышения </w:t>
      </w:r>
      <w:r w:rsidR="00F34B07">
        <w:t>(</w:t>
      </w:r>
      <w:r w:rsidR="00180C3F">
        <w:t xml:space="preserve">хотя бы сохранения на текущем уровне) </w:t>
      </w:r>
      <w:r w:rsidR="00180C3F" w:rsidRPr="00F34B07">
        <w:rPr>
          <w:b/>
          <w:u w:val="single"/>
        </w:rPr>
        <w:t>инвестиционной активности компаний вне зависимости от размера</w:t>
      </w:r>
      <w:r w:rsidR="00180C3F">
        <w:t xml:space="preserve">: </w:t>
      </w:r>
    </w:p>
    <w:p w:rsidR="00180C3F" w:rsidRDefault="00180C3F" w:rsidP="00180C3F">
      <w:pPr>
        <w:ind w:firstLine="708"/>
        <w:jc w:val="both"/>
      </w:pPr>
      <w:r>
        <w:t>в</w:t>
      </w:r>
      <w:r w:rsidRPr="00072C1F">
        <w:t xml:space="preserve">вести инвестиционную льготу, </w:t>
      </w:r>
    </w:p>
    <w:p w:rsidR="00180C3F" w:rsidRDefault="00180C3F" w:rsidP="00180C3F">
      <w:pPr>
        <w:ind w:firstLine="708"/>
        <w:jc w:val="both"/>
      </w:pPr>
      <w:r w:rsidRPr="00072C1F">
        <w:t xml:space="preserve">расширить применение ускоренной амортизации, в том числе в отношение инвестиционных проектов, которые </w:t>
      </w:r>
      <w:proofErr w:type="gramStart"/>
      <w:r w:rsidRPr="00072C1F">
        <w:t>завершены и объекты введены</w:t>
      </w:r>
      <w:proofErr w:type="gramEnd"/>
      <w:r w:rsidRPr="00072C1F">
        <w:t xml:space="preserve"> в эксплуатацию в период с 01.01.2012 г. по 2015 г. включительно, </w:t>
      </w:r>
    </w:p>
    <w:p w:rsidR="00180C3F" w:rsidRDefault="00180C3F" w:rsidP="00180C3F">
      <w:pPr>
        <w:ind w:firstLine="708"/>
        <w:jc w:val="both"/>
      </w:pPr>
      <w:r w:rsidRPr="00072C1F">
        <w:t>расширить применение инвестиционного налогового кредита (ИНК)</w:t>
      </w:r>
      <w:r>
        <w:t xml:space="preserve">, </w:t>
      </w:r>
      <w:r w:rsidRPr="00072C1F">
        <w:t xml:space="preserve">распространив возможность </w:t>
      </w:r>
      <w:proofErr w:type="gramStart"/>
      <w:r w:rsidRPr="00072C1F">
        <w:t>получения</w:t>
      </w:r>
      <w:proofErr w:type="gramEnd"/>
      <w:r w:rsidRPr="00072C1F">
        <w:t xml:space="preserve"> ИНК по налогу на добычу полезных ископаемых в части федеральной составляющей НДПИ и по налогу на д</w:t>
      </w:r>
      <w:r>
        <w:t>обавленную стоимость.</w:t>
      </w:r>
    </w:p>
    <w:p w:rsidR="00072C1F" w:rsidRDefault="00DF5B0B" w:rsidP="00072C1F">
      <w:pPr>
        <w:ind w:firstLine="708"/>
        <w:jc w:val="both"/>
      </w:pPr>
      <w:proofErr w:type="gramStart"/>
      <w:r>
        <w:t xml:space="preserve">- </w:t>
      </w:r>
      <w:r w:rsidR="00072C1F">
        <w:t xml:space="preserve">Кроме </w:t>
      </w:r>
      <w:r w:rsidR="00D84A04">
        <w:t>предложений по увеличению предельных значений для отнесения хозяйствующих субъектов к тем или иным категориям малого и среднего бизнеса</w:t>
      </w:r>
      <w:r w:rsidR="00072C1F">
        <w:t xml:space="preserve"> </w:t>
      </w:r>
      <w:r w:rsidR="004751A8">
        <w:t>(</w:t>
      </w:r>
      <w:bookmarkStart w:id="0" w:name="_GoBack"/>
      <w:r w:rsidR="004751A8" w:rsidRPr="004751A8">
        <w:rPr>
          <w:i/>
        </w:rPr>
        <w:t>притом, что предложения по увеличению порога для использования упрощенной системы налогообложения в план не вошли</w:t>
      </w:r>
      <w:bookmarkEnd w:id="0"/>
      <w:r w:rsidR="004751A8">
        <w:t xml:space="preserve">) </w:t>
      </w:r>
      <w:r w:rsidR="00072C1F">
        <w:t>и расширения сферы применения «налоговых каникул»</w:t>
      </w:r>
      <w:r w:rsidR="00D84A04">
        <w:t xml:space="preserve">, реализация иных фискальных мер для малого бизнеса перекладывается исключительно на регионы. </w:t>
      </w:r>
      <w:proofErr w:type="gramEnd"/>
    </w:p>
    <w:p w:rsidR="00D84A04" w:rsidRDefault="00D84A04" w:rsidP="00072C1F">
      <w:pPr>
        <w:ind w:firstLine="708"/>
        <w:jc w:val="both"/>
      </w:pPr>
      <w:r>
        <w:t>Такая конструкция создает риски, что регионы не будут предоставлять льготы из-за дефицитности бюджетов либо нагрузка будет снижаться, но за счет ее увеличения для крупного бизнеса</w:t>
      </w:r>
      <w:r w:rsidR="00072C1F">
        <w:t>.</w:t>
      </w:r>
    </w:p>
    <w:p w:rsidR="00072C1F" w:rsidRDefault="00DF5B0B" w:rsidP="00072C1F">
      <w:pPr>
        <w:ind w:firstLine="708"/>
        <w:jc w:val="both"/>
      </w:pPr>
      <w:r>
        <w:lastRenderedPageBreak/>
        <w:t xml:space="preserve">- </w:t>
      </w:r>
      <w:r w:rsidR="00072C1F">
        <w:t xml:space="preserve">Полностью поддерживаем предложение об исключении из оценки налогового потенциала регионов в целях расчета межбюджетных трансфертов доходов, получаемых в результате применения </w:t>
      </w:r>
      <w:proofErr w:type="spellStart"/>
      <w:r w:rsidR="00072C1F">
        <w:t>спецрежимов</w:t>
      </w:r>
      <w:proofErr w:type="spellEnd"/>
      <w:r w:rsidR="00072C1F">
        <w:t xml:space="preserve"> налогообложения. Это исключает третий риск – боязнь регионов «санкций» со стороны Минфина России за активное применение налоговых льгот.</w:t>
      </w:r>
    </w:p>
    <w:p w:rsidR="000B6E84" w:rsidRDefault="000B6E84" w:rsidP="000B6E84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Фактически за скобками остался таможенно-тарифный блок (за исключением отдельных направлений поддержки экспорта и предоставления Правительству права устанавливать особенности планирования и осуществления закупок импортного оборудования для </w:t>
      </w:r>
      <w:proofErr w:type="spellStart"/>
      <w:r>
        <w:t>инвестпроектов</w:t>
      </w:r>
      <w:proofErr w:type="spellEnd"/>
      <w:r>
        <w:t xml:space="preserve"> госкомпаний и проектов с господдержкой).</w:t>
      </w:r>
    </w:p>
    <w:p w:rsidR="000B6E84" w:rsidRDefault="000B6E84" w:rsidP="000B6E84">
      <w:pPr>
        <w:ind w:firstLine="708"/>
        <w:jc w:val="both"/>
      </w:pPr>
      <w:r>
        <w:t>Спектр предлагаемых бизнесом мер намного шире:</w:t>
      </w:r>
    </w:p>
    <w:p w:rsidR="00AB68E7" w:rsidRDefault="00AB68E7" w:rsidP="00AB68E7">
      <w:pPr>
        <w:ind w:firstLine="708"/>
        <w:jc w:val="both"/>
      </w:pPr>
      <w:r>
        <w:t>о</w:t>
      </w:r>
      <w:r w:rsidRPr="000B6E84">
        <w:t>бнулить пошлины на сырье, оборудование и комплектующие, не производимые в России</w:t>
      </w:r>
      <w:r>
        <w:t>;</w:t>
      </w:r>
    </w:p>
    <w:p w:rsidR="000B6E84" w:rsidRDefault="000B6E84" w:rsidP="000B6E84">
      <w:pPr>
        <w:ind w:firstLine="708"/>
        <w:jc w:val="both"/>
      </w:pPr>
      <w:r>
        <w:t>н</w:t>
      </w:r>
      <w:r w:rsidRPr="000B6E84">
        <w:t>ачать в 2015 году переговоры по пересмотру тарифных условий и уровней связывания в рамках членства России в ВТО с участием предпринимательского сообщества</w:t>
      </w:r>
      <w:r>
        <w:t>;</w:t>
      </w:r>
    </w:p>
    <w:p w:rsidR="000B6E84" w:rsidRDefault="000B6E84" w:rsidP="000B6E84">
      <w:pPr>
        <w:ind w:firstLine="708"/>
        <w:jc w:val="both"/>
      </w:pPr>
      <w:r w:rsidRPr="000B6E84">
        <w:t>активиз</w:t>
      </w:r>
      <w:r>
        <w:t>ировать</w:t>
      </w:r>
      <w:r w:rsidRPr="000B6E84">
        <w:t xml:space="preserve"> проведени</w:t>
      </w:r>
      <w:r>
        <w:t>е</w:t>
      </w:r>
      <w:r w:rsidRPr="000B6E84">
        <w:t xml:space="preserve"> антидемпинговых расследований в </w:t>
      </w:r>
      <w:proofErr w:type="gramStart"/>
      <w:r w:rsidRPr="000B6E84">
        <w:t>отношении</w:t>
      </w:r>
      <w:proofErr w:type="gramEnd"/>
      <w:r w:rsidRPr="000B6E84">
        <w:t xml:space="preserve"> импортных поставок на российский рынок (например, на рынке металлоконструкций, трубной продукции, алюминиевых профилей и т.д.) с возможностью введения ретроактивных пошлин в случае установления факта демпинга.</w:t>
      </w:r>
      <w:r>
        <w:t xml:space="preserve"> </w:t>
      </w:r>
    </w:p>
    <w:p w:rsidR="000B6E84" w:rsidRDefault="000B6E84" w:rsidP="000B6E84">
      <w:pPr>
        <w:ind w:firstLine="708"/>
        <w:jc w:val="both"/>
      </w:pPr>
      <w:r>
        <w:t>Переход части полномочий в таможенно-тарифной сфере на на</w:t>
      </w:r>
      <w:r w:rsidR="00AB68E7">
        <w:t xml:space="preserve">днациональный уровень </w:t>
      </w:r>
      <w:r>
        <w:t xml:space="preserve">– </w:t>
      </w:r>
      <w:r w:rsidR="00AB68E7">
        <w:t xml:space="preserve">лишь </w:t>
      </w:r>
      <w:r>
        <w:t>повод действовать активнее.</w:t>
      </w:r>
    </w:p>
    <w:p w:rsidR="00AB68E7" w:rsidRPr="00AB68E7" w:rsidRDefault="00AB68E7" w:rsidP="00AB68E7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AB68E7">
        <w:rPr>
          <w:b/>
        </w:rPr>
        <w:t>РСПП готов предоставить свою версию перечня мер Минэкономразвития России для учета в дальнейшей работе. Надеемся, что она будет открытой не только для прессы, но и предпринимательского сообщества.</w:t>
      </w:r>
    </w:p>
    <w:sectPr w:rsidR="00AB68E7" w:rsidRPr="00AB68E7" w:rsidSect="00AB68E7">
      <w:headerReference w:type="default" r:id="rId8"/>
      <w:pgSz w:w="11906" w:h="16838"/>
      <w:pgMar w:top="1134" w:right="1191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2B" w:rsidRDefault="00AB632B" w:rsidP="00AB68E7">
      <w:pPr>
        <w:spacing w:line="240" w:lineRule="auto"/>
      </w:pPr>
      <w:r>
        <w:separator/>
      </w:r>
    </w:p>
  </w:endnote>
  <w:endnote w:type="continuationSeparator" w:id="0">
    <w:p w:rsidR="00AB632B" w:rsidRDefault="00AB632B" w:rsidP="00AB6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2B" w:rsidRDefault="00AB632B" w:rsidP="00AB68E7">
      <w:pPr>
        <w:spacing w:line="240" w:lineRule="auto"/>
      </w:pPr>
      <w:r>
        <w:separator/>
      </w:r>
    </w:p>
  </w:footnote>
  <w:footnote w:type="continuationSeparator" w:id="0">
    <w:p w:rsidR="00AB632B" w:rsidRDefault="00AB632B" w:rsidP="00AB6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06830"/>
      <w:docPartObj>
        <w:docPartGallery w:val="Page Numbers (Top of Page)"/>
        <w:docPartUnique/>
      </w:docPartObj>
    </w:sdtPr>
    <w:sdtEndPr/>
    <w:sdtContent>
      <w:p w:rsidR="00AB68E7" w:rsidRDefault="00AB68E7" w:rsidP="00AB68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1A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0222"/>
    <w:multiLevelType w:val="hybridMultilevel"/>
    <w:tmpl w:val="5348879A"/>
    <w:lvl w:ilvl="0" w:tplc="EAA6A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5"/>
    <w:rsid w:val="00022895"/>
    <w:rsid w:val="00072C1F"/>
    <w:rsid w:val="000B6E84"/>
    <w:rsid w:val="00180C3F"/>
    <w:rsid w:val="00326C41"/>
    <w:rsid w:val="004751A8"/>
    <w:rsid w:val="0061440B"/>
    <w:rsid w:val="00681ED0"/>
    <w:rsid w:val="006B5C27"/>
    <w:rsid w:val="00A401C5"/>
    <w:rsid w:val="00AB632B"/>
    <w:rsid w:val="00AB68E7"/>
    <w:rsid w:val="00AE061D"/>
    <w:rsid w:val="00C207F1"/>
    <w:rsid w:val="00CF25C6"/>
    <w:rsid w:val="00D84A04"/>
    <w:rsid w:val="00DF5B0B"/>
    <w:rsid w:val="00F2591D"/>
    <w:rsid w:val="00F34B07"/>
    <w:rsid w:val="00F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8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8E7"/>
  </w:style>
  <w:style w:type="paragraph" w:styleId="a6">
    <w:name w:val="footer"/>
    <w:basedOn w:val="a"/>
    <w:link w:val="a7"/>
    <w:uiPriority w:val="99"/>
    <w:unhideWhenUsed/>
    <w:rsid w:val="00AB68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8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8E7"/>
  </w:style>
  <w:style w:type="paragraph" w:styleId="a6">
    <w:name w:val="footer"/>
    <w:basedOn w:val="a"/>
    <w:link w:val="a7"/>
    <w:uiPriority w:val="99"/>
    <w:unhideWhenUsed/>
    <w:rsid w:val="00AB68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12</cp:revision>
  <dcterms:created xsi:type="dcterms:W3CDTF">2015-01-28T08:12:00Z</dcterms:created>
  <dcterms:modified xsi:type="dcterms:W3CDTF">2015-01-28T14:15:00Z</dcterms:modified>
</cp:coreProperties>
</file>