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3E230A" w:rsidRDefault="00FC3113">
      <w:pPr>
        <w:rPr>
          <w:b/>
          <w:bCs/>
          <w:sz w:val="28"/>
          <w:szCs w:val="28"/>
          <w:u w:val="single"/>
        </w:rPr>
      </w:pPr>
      <w:r w:rsidRPr="003E230A">
        <w:rPr>
          <w:b/>
          <w:bCs/>
          <w:sz w:val="28"/>
          <w:szCs w:val="28"/>
          <w:u w:val="single"/>
        </w:rPr>
        <w:t xml:space="preserve">Project </w:t>
      </w:r>
      <w:proofErr w:type="gramStart"/>
      <w:r w:rsidRPr="003E230A">
        <w:rPr>
          <w:b/>
          <w:bCs/>
          <w:sz w:val="28"/>
          <w:szCs w:val="28"/>
          <w:u w:val="single"/>
        </w:rPr>
        <w:t xml:space="preserve">name </w:t>
      </w:r>
      <w:r w:rsidRPr="003E230A">
        <w:rPr>
          <w:b/>
          <w:bCs/>
          <w:sz w:val="28"/>
          <w:szCs w:val="28"/>
        </w:rPr>
        <w:t>:</w:t>
      </w:r>
      <w:proofErr w:type="gramEnd"/>
      <w:r w:rsidR="0051571B" w:rsidRPr="003E230A">
        <w:rPr>
          <w:b/>
          <w:bCs/>
          <w:sz w:val="28"/>
          <w:szCs w:val="28"/>
        </w:rPr>
        <w:t xml:space="preserve"> </w:t>
      </w:r>
      <w:proofErr w:type="spellStart"/>
      <w:r w:rsidR="0051571B" w:rsidRPr="003E230A">
        <w:rPr>
          <w:b/>
          <w:bCs/>
          <w:sz w:val="28"/>
          <w:szCs w:val="28"/>
        </w:rPr>
        <w:t>Pharmadar</w:t>
      </w:r>
      <w:proofErr w:type="spellEnd"/>
      <w:r w:rsidR="0051571B" w:rsidRPr="003E230A">
        <w:rPr>
          <w:b/>
          <w:bCs/>
          <w:sz w:val="28"/>
          <w:szCs w:val="28"/>
        </w:rPr>
        <w:t xml:space="preserve"> for Medical Industry</w:t>
      </w:r>
    </w:p>
    <w:p w:rsidR="00FC3113" w:rsidRPr="003E230A" w:rsidRDefault="0072199E">
      <w:pPr>
        <w:rPr>
          <w:b/>
          <w:bCs/>
          <w:sz w:val="28"/>
          <w:szCs w:val="28"/>
          <w:u w:val="single"/>
        </w:rPr>
      </w:pPr>
      <w:r w:rsidRPr="003E230A">
        <w:rPr>
          <w:b/>
          <w:bCs/>
          <w:sz w:val="28"/>
          <w:szCs w:val="28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51571B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51571B" w:rsidRPr="0051571B" w:rsidRDefault="0051571B" w:rsidP="0051571B">
            <w:pPr>
              <w:shd w:val="clear" w:color="auto" w:fill="F5F5F5"/>
              <w:textAlignment w:val="top"/>
              <w:rPr>
                <w:rFonts w:eastAsia="Times New Roman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Pharmadar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is an Egyptian</w:t>
            </w:r>
            <w:r w:rsidRPr="00515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51571B"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 xml:space="preserve">joint stock company established </w:t>
            </w: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 xml:space="preserve">for </w:t>
            </w:r>
            <w:r w:rsidRPr="0051571B"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 xml:space="preserve">operating a factory for the manufacture of human and veterinary medicines and </w:t>
            </w: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>cosmetics and for the</w:t>
            </w:r>
            <w:r w:rsidRPr="0051571B">
              <w:rPr>
                <w:rFonts w:eastAsia="Times New Roman" w:cs="Arial"/>
                <w:b/>
                <w:bCs/>
                <w:color w:val="222222"/>
                <w:sz w:val="24"/>
                <w:szCs w:val="24"/>
              </w:rPr>
              <w:t xml:space="preserve"> trade and distribution and marketing of human and veterinary medicines and supplies and medical preparations and publicity for them and manufacturing for others</w:t>
            </w:r>
          </w:p>
          <w:p w:rsidR="00F86EDC" w:rsidRPr="0072199E" w:rsidRDefault="00F86ED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51571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100,000,000</w:t>
            </w: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F86EDC" w:rsidP="001B13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1B13DC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2B191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4028A4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2B191C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 xml:space="preserve">(Project Expansion/Acquisition/ </w:t>
            </w:r>
            <w:r w:rsidRPr="002B191C">
              <w:rPr>
                <w:b/>
                <w:bCs/>
                <w:sz w:val="24"/>
                <w:szCs w:val="24"/>
                <w:u w:val="single"/>
              </w:rPr>
              <w:t>Start Up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2B191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Sadat City-7</w:t>
            </w:r>
            <w:r w:rsidRPr="002B191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industrial area- land space (11000 </w:t>
            </w:r>
            <w:proofErr w:type="spellStart"/>
            <w:r>
              <w:rPr>
                <w:b/>
                <w:bCs/>
                <w:sz w:val="24"/>
                <w:szCs w:val="24"/>
              </w:rPr>
              <w:t>metres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2B191C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2B191C">
        <w:trPr>
          <w:trHeight w:val="576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Default="002B191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2B191C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2B191C">
              <w:rPr>
                <w:b/>
                <w:bCs/>
                <w:sz w:val="24"/>
                <w:szCs w:val="24"/>
              </w:rPr>
              <w:t>Bassem</w:t>
            </w:r>
            <w:proofErr w:type="spellEnd"/>
            <w:r w:rsidRPr="002B19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191C">
              <w:rPr>
                <w:b/>
                <w:bCs/>
                <w:sz w:val="24"/>
                <w:szCs w:val="24"/>
              </w:rPr>
              <w:t>Bahgat</w:t>
            </w:r>
            <w:proofErr w:type="spellEnd"/>
            <w:r w:rsidRPr="002B191C">
              <w:rPr>
                <w:b/>
                <w:bCs/>
                <w:sz w:val="24"/>
                <w:szCs w:val="24"/>
              </w:rPr>
              <w:t xml:space="preserve">  01289966861</w:t>
            </w:r>
          </w:p>
          <w:p w:rsidR="003E230A" w:rsidRPr="002B191C" w:rsidRDefault="003E230A" w:rsidP="00F86EDC">
            <w:pPr>
              <w:ind w:left="9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Dokki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Office: 0237497505 - 0237497506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lastRenderedPageBreak/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1B13DC"/>
    <w:rsid w:val="002B191C"/>
    <w:rsid w:val="00346CF7"/>
    <w:rsid w:val="0037561F"/>
    <w:rsid w:val="003E230A"/>
    <w:rsid w:val="004028A4"/>
    <w:rsid w:val="004E2505"/>
    <w:rsid w:val="0051571B"/>
    <w:rsid w:val="00575A58"/>
    <w:rsid w:val="0072199E"/>
    <w:rsid w:val="007E50C6"/>
    <w:rsid w:val="00960B61"/>
    <w:rsid w:val="00A97E3E"/>
    <w:rsid w:val="00BA6CCB"/>
    <w:rsid w:val="00DE5A93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15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147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9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769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1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4</cp:revision>
  <dcterms:created xsi:type="dcterms:W3CDTF">2013-12-05T12:22:00Z</dcterms:created>
  <dcterms:modified xsi:type="dcterms:W3CDTF">2013-12-05T12:31:00Z</dcterms:modified>
</cp:coreProperties>
</file>