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1B5" w:rsidRDefault="00E77DD1" w:rsidP="00E77DD1">
      <w:pPr>
        <w:ind w:firstLine="567"/>
        <w:jc w:val="right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E77DD1">
        <w:rPr>
          <w:rFonts w:ascii="Times New Roman" w:hAnsi="Times New Roman" w:cs="Times New Roman"/>
          <w:i/>
          <w:sz w:val="28"/>
          <w:szCs w:val="28"/>
          <w:u w:val="single"/>
        </w:rPr>
        <w:t>Материалы к совещанию в РСПП 12 апреля 2012 года</w:t>
      </w:r>
    </w:p>
    <w:p w:rsidR="00E77DD1" w:rsidRPr="00E77DD1" w:rsidRDefault="00E77DD1" w:rsidP="00E77DD1">
      <w:pPr>
        <w:ind w:firstLine="567"/>
        <w:jc w:val="right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12311F" w:rsidRPr="0011379C" w:rsidRDefault="0011379C" w:rsidP="0085666A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379C">
        <w:rPr>
          <w:rFonts w:ascii="Times New Roman" w:hAnsi="Times New Roman" w:cs="Times New Roman"/>
          <w:b/>
          <w:sz w:val="28"/>
          <w:szCs w:val="28"/>
        </w:rPr>
        <w:t>Аналитическая записка о роли международного факторинга в поддержке экспорта</w:t>
      </w:r>
      <w:r>
        <w:rPr>
          <w:rFonts w:ascii="Times New Roman" w:hAnsi="Times New Roman" w:cs="Times New Roman"/>
          <w:b/>
          <w:sz w:val="28"/>
          <w:szCs w:val="28"/>
        </w:rPr>
        <w:t xml:space="preserve"> в условиях вступления России в</w:t>
      </w:r>
      <w:r w:rsidRPr="0011379C">
        <w:rPr>
          <w:rFonts w:ascii="Times New Roman" w:hAnsi="Times New Roman" w:cs="Times New Roman"/>
          <w:b/>
          <w:sz w:val="28"/>
          <w:szCs w:val="28"/>
        </w:rPr>
        <w:t xml:space="preserve"> В</w:t>
      </w:r>
      <w:r>
        <w:rPr>
          <w:rFonts w:ascii="Times New Roman" w:hAnsi="Times New Roman" w:cs="Times New Roman"/>
          <w:b/>
          <w:sz w:val="28"/>
          <w:szCs w:val="28"/>
        </w:rPr>
        <w:t>ТО</w:t>
      </w:r>
    </w:p>
    <w:p w:rsidR="00AD5EA9" w:rsidRDefault="0085666A" w:rsidP="0085666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666A">
        <w:rPr>
          <w:rFonts w:ascii="Times New Roman" w:hAnsi="Times New Roman" w:cs="Times New Roman"/>
          <w:sz w:val="28"/>
          <w:szCs w:val="28"/>
        </w:rPr>
        <w:t>Международный факторинг – вид факторинговой операции, обеспечивающий расчеты и сервисное сопровождение финансирования поставок товаров и услуг с отсрочкой платежа в условиях, когда поставщик и покупатель являются резидентами разных государств. Международный факторинг, в отличие от операций по торговому финансированию, используется для работы по долгосрочным или бессрочным внешнеэкономическим контрактам, характеризующимся регулярностью поставок и тенденцией к увеличению товарооборота.</w:t>
      </w:r>
      <w:r w:rsidR="00AD5EA9" w:rsidRPr="00AD5EA9">
        <w:rPr>
          <w:rFonts w:ascii="Times New Roman" w:hAnsi="Times New Roman" w:cs="Times New Roman"/>
          <w:sz w:val="28"/>
          <w:szCs w:val="28"/>
          <w:vertAlign w:val="superscript"/>
        </w:rPr>
        <w:footnoteReference w:id="1"/>
      </w:r>
      <w:r w:rsidR="00AD5EA9" w:rsidRPr="00AD5EA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5666A" w:rsidRDefault="0085666A" w:rsidP="0085666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Международный факторинг является элементом национальных систем международных расчетов </w:t>
      </w:r>
      <w:r w:rsidR="003E11B5">
        <w:rPr>
          <w:rFonts w:ascii="Times New Roman" w:hAnsi="Times New Roman" w:cs="Times New Roman"/>
          <w:sz w:val="28"/>
          <w:szCs w:val="28"/>
        </w:rPr>
        <w:t xml:space="preserve">за поставленную продукцию и услуги в рамках </w:t>
      </w:r>
      <w:r>
        <w:rPr>
          <w:rFonts w:ascii="Times New Roman" w:hAnsi="Times New Roman" w:cs="Times New Roman"/>
          <w:sz w:val="28"/>
          <w:szCs w:val="28"/>
        </w:rPr>
        <w:t>внешнеэкономической деятельности</w:t>
      </w:r>
      <w:r w:rsidR="00427604">
        <w:rPr>
          <w:rFonts w:ascii="Times New Roman" w:hAnsi="Times New Roman" w:cs="Times New Roman"/>
          <w:sz w:val="28"/>
          <w:szCs w:val="28"/>
        </w:rPr>
        <w:t>, широко используется</w:t>
      </w:r>
      <w:r>
        <w:rPr>
          <w:rFonts w:ascii="Times New Roman" w:hAnsi="Times New Roman" w:cs="Times New Roman"/>
          <w:sz w:val="28"/>
          <w:szCs w:val="28"/>
        </w:rPr>
        <w:t xml:space="preserve"> странами-членами Всемирной торговой организации. </w:t>
      </w:r>
      <w:r w:rsidR="00427604">
        <w:rPr>
          <w:rFonts w:ascii="Times New Roman" w:hAnsi="Times New Roman" w:cs="Times New Roman"/>
          <w:sz w:val="28"/>
          <w:szCs w:val="28"/>
        </w:rPr>
        <w:t xml:space="preserve">Объем мирового рынка международного факторинга оценивается в 250 миллиардов евро по итогам 2010 года, по итогам 2011 года – 274 миллиарда евро. </w:t>
      </w:r>
    </w:p>
    <w:p w:rsidR="0085666A" w:rsidRPr="00556F55" w:rsidRDefault="003E11B5" w:rsidP="0085666A">
      <w:pPr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56F55">
        <w:rPr>
          <w:rFonts w:ascii="Times New Roman" w:hAnsi="Times New Roman" w:cs="Times New Roman"/>
          <w:i/>
          <w:sz w:val="28"/>
          <w:szCs w:val="28"/>
        </w:rPr>
        <w:t>Однако</w:t>
      </w:r>
      <w:r w:rsidR="0085666A" w:rsidRPr="00556F55">
        <w:rPr>
          <w:rFonts w:ascii="Times New Roman" w:hAnsi="Times New Roman" w:cs="Times New Roman"/>
          <w:i/>
          <w:sz w:val="28"/>
          <w:szCs w:val="28"/>
        </w:rPr>
        <w:t xml:space="preserve"> вопросы развития международного факторинга в России и доступа зарубежных факторинговых компаний и банков на российский рынок </w:t>
      </w:r>
      <w:r w:rsidR="00AD5EA9" w:rsidRPr="00556F55">
        <w:rPr>
          <w:rFonts w:ascii="Times New Roman" w:hAnsi="Times New Roman" w:cs="Times New Roman"/>
          <w:i/>
          <w:sz w:val="28"/>
          <w:szCs w:val="28"/>
        </w:rPr>
        <w:t xml:space="preserve">не являлись предметом переговоров в рамках присоединения России к ВТО. </w:t>
      </w:r>
    </w:p>
    <w:p w:rsidR="0085666A" w:rsidRDefault="003E11B5" w:rsidP="0085666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11B5">
        <w:rPr>
          <w:rFonts w:ascii="Times New Roman" w:hAnsi="Times New Roman" w:cs="Times New Roman"/>
          <w:sz w:val="28"/>
          <w:szCs w:val="28"/>
        </w:rPr>
        <w:t>По данным В</w:t>
      </w:r>
      <w:r>
        <w:rPr>
          <w:rFonts w:ascii="Times New Roman" w:hAnsi="Times New Roman" w:cs="Times New Roman"/>
          <w:sz w:val="28"/>
          <w:szCs w:val="28"/>
        </w:rPr>
        <w:t>ТО за 2010 год</w:t>
      </w:r>
      <w:r w:rsidRPr="003E11B5">
        <w:rPr>
          <w:rFonts w:ascii="Times New Roman" w:hAnsi="Times New Roman" w:cs="Times New Roman"/>
          <w:sz w:val="28"/>
          <w:szCs w:val="28"/>
        </w:rPr>
        <w:t>, 64</w:t>
      </w:r>
      <w:r>
        <w:rPr>
          <w:rFonts w:ascii="Times New Roman" w:hAnsi="Times New Roman" w:cs="Times New Roman"/>
          <w:sz w:val="28"/>
          <w:szCs w:val="28"/>
        </w:rPr>
        <w:t xml:space="preserve"> процента</w:t>
      </w:r>
      <w:r w:rsidRPr="003E11B5">
        <w:rPr>
          <w:rFonts w:ascii="Times New Roman" w:hAnsi="Times New Roman" w:cs="Times New Roman"/>
          <w:sz w:val="28"/>
          <w:szCs w:val="28"/>
        </w:rPr>
        <w:t xml:space="preserve"> оборота международной торговли </w:t>
      </w:r>
      <w:r>
        <w:rPr>
          <w:rFonts w:ascii="Times New Roman" w:hAnsi="Times New Roman" w:cs="Times New Roman"/>
          <w:sz w:val="28"/>
          <w:szCs w:val="28"/>
        </w:rPr>
        <w:t xml:space="preserve">(экспорт) </w:t>
      </w:r>
      <w:r w:rsidRPr="003E11B5">
        <w:rPr>
          <w:rFonts w:ascii="Times New Roman" w:hAnsi="Times New Roman" w:cs="Times New Roman"/>
          <w:sz w:val="28"/>
          <w:szCs w:val="28"/>
        </w:rPr>
        <w:t>осуществляется на условиях отсрочки платежа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3E11B5">
        <w:rPr>
          <w:rFonts w:ascii="Times New Roman" w:hAnsi="Times New Roman" w:cs="Times New Roman"/>
          <w:sz w:val="28"/>
          <w:szCs w:val="28"/>
        </w:rPr>
        <w:t>Минимальная договорная отсрочка платежей по экспортным поставкам стран-</w:t>
      </w:r>
      <w:r>
        <w:rPr>
          <w:rFonts w:ascii="Times New Roman" w:hAnsi="Times New Roman" w:cs="Times New Roman"/>
          <w:sz w:val="28"/>
          <w:szCs w:val="28"/>
        </w:rPr>
        <w:t>членов</w:t>
      </w:r>
      <w:r w:rsidRPr="003E11B5">
        <w:rPr>
          <w:rFonts w:ascii="Times New Roman" w:hAnsi="Times New Roman" w:cs="Times New Roman"/>
          <w:sz w:val="28"/>
          <w:szCs w:val="28"/>
        </w:rPr>
        <w:t xml:space="preserve"> ВТО составляет 60 дней, средняя 90 дней, максимальная 180 дней. </w:t>
      </w:r>
      <w:r>
        <w:rPr>
          <w:rFonts w:ascii="Times New Roman" w:hAnsi="Times New Roman" w:cs="Times New Roman"/>
          <w:sz w:val="28"/>
          <w:szCs w:val="28"/>
        </w:rPr>
        <w:t xml:space="preserve">По данным Ассоциации факторинговых компаний, </w:t>
      </w:r>
      <w:r w:rsidRPr="003E11B5">
        <w:rPr>
          <w:rFonts w:ascii="Times New Roman" w:hAnsi="Times New Roman" w:cs="Times New Roman"/>
          <w:sz w:val="28"/>
          <w:szCs w:val="28"/>
        </w:rPr>
        <w:t>90 дней - средний срок инкассации выручки по экспортным контрактам (репатриации валютной выручки по Федеральному закону №173-ФЗ «О валютном регулировании и валютном контроле»).</w:t>
      </w:r>
    </w:p>
    <w:p w:rsidR="003E11B5" w:rsidRPr="00556F55" w:rsidRDefault="003E11B5" w:rsidP="003E11B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6F55">
        <w:rPr>
          <w:rFonts w:ascii="Times New Roman" w:hAnsi="Times New Roman" w:cs="Times New Roman"/>
          <w:sz w:val="28"/>
          <w:szCs w:val="28"/>
        </w:rPr>
        <w:t xml:space="preserve">Однако российские экспортеры не имеют доступа к инструментам международных расчетов за поставленную продукцию, позволяющим как страховать риски неоплаты, так и предотвращать кассовые разрывы на 60-90 дней. В результате российская экспортная (несырьевая) продукция в </w:t>
      </w:r>
      <w:r w:rsidRPr="00556F55">
        <w:rPr>
          <w:rFonts w:ascii="Times New Roman" w:hAnsi="Times New Roman" w:cs="Times New Roman"/>
          <w:sz w:val="28"/>
          <w:szCs w:val="28"/>
        </w:rPr>
        <w:lastRenderedPageBreak/>
        <w:t xml:space="preserve">сложившейся практике международного торгового оборота стран-членов ВТО не является конкурентоспособной по критерию условий оплаты поставок. Попытки конкуренции по данному критерию в рамках ВТО отрицательно скажутся на финансовой устойчивости российских экспортеров, вынуждая их направлять денежные потоки на покрытие кассового разрыва, снижая тем самым объем инвестиций в производство и качество продукции. </w:t>
      </w:r>
    </w:p>
    <w:p w:rsidR="005A294F" w:rsidRDefault="003E11B5" w:rsidP="003E11B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11B5">
        <w:rPr>
          <w:rFonts w:ascii="Times New Roman" w:hAnsi="Times New Roman" w:cs="Times New Roman"/>
          <w:sz w:val="28"/>
          <w:szCs w:val="28"/>
        </w:rPr>
        <w:t xml:space="preserve">Действующее валютное законодательство не содержит норм, необходимых для формирования в России инфраструктуры международных расчетов, направленной на поддержку экспорта и экспортеров: использования открытых и эскроу-счетов, международного факторинга. </w:t>
      </w:r>
    </w:p>
    <w:p w:rsidR="005A294F" w:rsidRPr="00556F55" w:rsidRDefault="005A294F" w:rsidP="00BE5D73">
      <w:pPr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56F55">
        <w:rPr>
          <w:rFonts w:ascii="Times New Roman" w:hAnsi="Times New Roman" w:cs="Times New Roman"/>
          <w:i/>
          <w:sz w:val="28"/>
          <w:szCs w:val="28"/>
        </w:rPr>
        <w:t xml:space="preserve">Напротив, положения статьи 19 Федерального закона «О валютном регулировании и валютном контроле», не предусматривающие возможность перехода права требования по внешнеторговому договору (контракту) внутри России, </w:t>
      </w:r>
      <w:r w:rsidR="00BE5D73" w:rsidRPr="00556F55">
        <w:rPr>
          <w:rFonts w:ascii="Times New Roman" w:hAnsi="Times New Roman" w:cs="Times New Roman"/>
          <w:i/>
          <w:sz w:val="28"/>
          <w:szCs w:val="28"/>
        </w:rPr>
        <w:t xml:space="preserve">но обязывающие экспортера принимать платеж по такому договору исключительно от нерезидента, </w:t>
      </w:r>
      <w:r w:rsidRPr="00556F55">
        <w:rPr>
          <w:rFonts w:ascii="Times New Roman" w:hAnsi="Times New Roman" w:cs="Times New Roman"/>
          <w:i/>
          <w:sz w:val="28"/>
          <w:szCs w:val="28"/>
        </w:rPr>
        <w:t xml:space="preserve">создают необоснованные преимущества для заключения договоров экспортного факторинга с российскими предприятиями иностранных факторинговых компаний и банков </w:t>
      </w:r>
      <w:r w:rsidR="00BE5D73" w:rsidRPr="00556F55">
        <w:rPr>
          <w:rFonts w:ascii="Times New Roman" w:hAnsi="Times New Roman" w:cs="Times New Roman"/>
          <w:i/>
          <w:sz w:val="28"/>
          <w:szCs w:val="28"/>
        </w:rPr>
        <w:t>(нерезидентов). Данная норма в условиях расширения внешнеторговых отношений при вступлении России в ВТО способна нанести значительный</w:t>
      </w:r>
      <w:r w:rsidRPr="00556F55">
        <w:rPr>
          <w:rFonts w:ascii="Times New Roman" w:hAnsi="Times New Roman" w:cs="Times New Roman"/>
          <w:i/>
          <w:sz w:val="28"/>
          <w:szCs w:val="28"/>
        </w:rPr>
        <w:t xml:space="preserve"> ущерб интересам российской финансовой системы. </w:t>
      </w:r>
    </w:p>
    <w:p w:rsidR="00BE5D73" w:rsidRDefault="00BE5D73" w:rsidP="00BE5D7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E5D73">
        <w:rPr>
          <w:rFonts w:ascii="Times New Roman" w:hAnsi="Times New Roman" w:cs="Times New Roman"/>
          <w:sz w:val="28"/>
          <w:szCs w:val="28"/>
        </w:rPr>
        <w:t xml:space="preserve">Поскольку Российская Федерация не является стороной ни одного из международных договоров в области международного факторинга - Конвенции УНИДРУА по международным факторинговым операциям либо Конвенции ООН ЮНСИТРАЛ «Об уступке дебиторской задолженности в международной торговле», а в российском законодательстве нет специального закона о факторинге, регулирование указанных правоотношений в нашей стране осуществляется на основе положений главы43 Гражданского кодекса Российской Федерации. </w:t>
      </w:r>
    </w:p>
    <w:p w:rsidR="003E11B5" w:rsidRDefault="00BE5D73" w:rsidP="00BE5D7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Экспортный факторинг вынужденно осуществляется в рамках так называемой «конфиденциальной схемы» с правом регресса, при которой переход права требования от экспортера к российской факторинговой компании/банку не сопровождается уведомлением нерезидента. В результате </w:t>
      </w:r>
      <w:r w:rsidR="003E11B5" w:rsidRPr="003E11B5">
        <w:rPr>
          <w:rFonts w:ascii="Times New Roman" w:hAnsi="Times New Roman" w:cs="Times New Roman"/>
          <w:sz w:val="28"/>
          <w:szCs w:val="28"/>
        </w:rPr>
        <w:t>ответственность за просрочку платежей либо неоплату поставок по причине рекламаций</w:t>
      </w:r>
      <w:r w:rsidR="00556F55">
        <w:rPr>
          <w:rFonts w:ascii="Times New Roman" w:hAnsi="Times New Roman" w:cs="Times New Roman"/>
          <w:sz w:val="28"/>
          <w:szCs w:val="28"/>
        </w:rPr>
        <w:t xml:space="preserve"> к товару</w:t>
      </w:r>
      <w:r w:rsidR="003E11B5" w:rsidRPr="003E11B5">
        <w:rPr>
          <w:rFonts w:ascii="Times New Roman" w:hAnsi="Times New Roman" w:cs="Times New Roman"/>
          <w:sz w:val="28"/>
          <w:szCs w:val="28"/>
        </w:rPr>
        <w:t xml:space="preserve"> нерезидентами </w:t>
      </w:r>
      <w:r>
        <w:rPr>
          <w:rFonts w:ascii="Times New Roman" w:hAnsi="Times New Roman" w:cs="Times New Roman"/>
          <w:sz w:val="28"/>
          <w:szCs w:val="28"/>
        </w:rPr>
        <w:t xml:space="preserve">полностью </w:t>
      </w:r>
      <w:r w:rsidR="00556F55">
        <w:rPr>
          <w:rFonts w:ascii="Times New Roman" w:hAnsi="Times New Roman" w:cs="Times New Roman"/>
          <w:sz w:val="28"/>
          <w:szCs w:val="28"/>
        </w:rPr>
        <w:t>возлагается на экспортера.</w:t>
      </w:r>
    </w:p>
    <w:p w:rsidR="003E11B5" w:rsidRPr="003E11B5" w:rsidRDefault="005A294F" w:rsidP="005A294F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результате, на  момент вступления в ВТО </w:t>
      </w:r>
      <w:r w:rsidR="003E11B5" w:rsidRPr="003E11B5">
        <w:rPr>
          <w:rFonts w:ascii="Times New Roman" w:hAnsi="Times New Roman" w:cs="Times New Roman"/>
          <w:sz w:val="28"/>
          <w:szCs w:val="28"/>
        </w:rPr>
        <w:t>Россия занимает 12-е место</w:t>
      </w:r>
      <w:r w:rsidR="003E11B5" w:rsidRPr="003E11B5">
        <w:rPr>
          <w:rFonts w:ascii="Times New Roman" w:hAnsi="Times New Roman" w:cs="Times New Roman"/>
          <w:sz w:val="28"/>
          <w:szCs w:val="28"/>
          <w:vertAlign w:val="superscript"/>
        </w:rPr>
        <w:footnoteReference w:id="2"/>
      </w:r>
      <w:r w:rsidR="003E11B5">
        <w:rPr>
          <w:rFonts w:ascii="Times New Roman" w:hAnsi="Times New Roman" w:cs="Times New Roman"/>
          <w:sz w:val="28"/>
          <w:szCs w:val="28"/>
        </w:rPr>
        <w:t xml:space="preserve"> </w:t>
      </w:r>
      <w:r w:rsidR="003E11B5" w:rsidRPr="003E11B5">
        <w:rPr>
          <w:rFonts w:ascii="Times New Roman" w:hAnsi="Times New Roman" w:cs="Times New Roman"/>
          <w:sz w:val="28"/>
          <w:szCs w:val="28"/>
        </w:rPr>
        <w:t>(из 35 стран) в Европе и 16-е место (из 69 стран) в мире по обороту факторинга (внутренний +международны</w:t>
      </w:r>
      <w:r>
        <w:rPr>
          <w:rFonts w:ascii="Times New Roman" w:hAnsi="Times New Roman" w:cs="Times New Roman"/>
          <w:sz w:val="28"/>
          <w:szCs w:val="28"/>
        </w:rPr>
        <w:t xml:space="preserve">й) с показателем 12 млрд. евро, однако </w:t>
      </w:r>
      <w:r w:rsidRPr="003E11B5">
        <w:rPr>
          <w:rFonts w:ascii="Times New Roman" w:hAnsi="Times New Roman" w:cs="Times New Roman"/>
          <w:sz w:val="28"/>
          <w:szCs w:val="28"/>
        </w:rPr>
        <w:t xml:space="preserve">по обороту международного факторинга с показателем - 80 млн. евро </w:t>
      </w:r>
      <w:r>
        <w:rPr>
          <w:rFonts w:ascii="Times New Roman" w:hAnsi="Times New Roman" w:cs="Times New Roman"/>
          <w:sz w:val="28"/>
          <w:szCs w:val="28"/>
        </w:rPr>
        <w:t xml:space="preserve">Россия </w:t>
      </w:r>
      <w:r w:rsidR="003E11B5" w:rsidRPr="003E11B5">
        <w:rPr>
          <w:rFonts w:ascii="Times New Roman" w:hAnsi="Times New Roman" w:cs="Times New Roman"/>
          <w:sz w:val="28"/>
          <w:szCs w:val="28"/>
        </w:rPr>
        <w:t xml:space="preserve">занимает </w:t>
      </w:r>
      <w:r>
        <w:rPr>
          <w:rFonts w:ascii="Times New Roman" w:hAnsi="Times New Roman" w:cs="Times New Roman"/>
          <w:sz w:val="28"/>
          <w:szCs w:val="28"/>
        </w:rPr>
        <w:t xml:space="preserve">лишь </w:t>
      </w:r>
      <w:r w:rsidR="003E11B5" w:rsidRPr="003E11B5">
        <w:rPr>
          <w:rFonts w:ascii="Times New Roman" w:hAnsi="Times New Roman" w:cs="Times New Roman"/>
          <w:sz w:val="28"/>
          <w:szCs w:val="28"/>
        </w:rPr>
        <w:t xml:space="preserve">24-е место в Европе и 42-е в мире. </w:t>
      </w:r>
    </w:p>
    <w:p w:rsidR="005A294F" w:rsidRDefault="003E11B5" w:rsidP="003E11B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11B5">
        <w:rPr>
          <w:rFonts w:ascii="Times New Roman" w:hAnsi="Times New Roman" w:cs="Times New Roman"/>
          <w:sz w:val="28"/>
          <w:szCs w:val="28"/>
        </w:rPr>
        <w:t xml:space="preserve">В обороте европейского рынка факторинга международный факторинг занимает 14% (144 млрд. евро), в обороте </w:t>
      </w:r>
      <w:r w:rsidR="005A294F">
        <w:rPr>
          <w:rFonts w:ascii="Times New Roman" w:hAnsi="Times New Roman" w:cs="Times New Roman"/>
          <w:sz w:val="28"/>
          <w:szCs w:val="28"/>
        </w:rPr>
        <w:t>мирового – 15% (246 млрд. евро), в обороте российского рынка – около 1%.</w:t>
      </w:r>
      <w:r w:rsidRPr="003E11B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11B5" w:rsidRDefault="003E11B5" w:rsidP="003E11B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11B5">
        <w:rPr>
          <w:rFonts w:ascii="Times New Roman" w:hAnsi="Times New Roman" w:cs="Times New Roman"/>
          <w:sz w:val="28"/>
          <w:szCs w:val="28"/>
        </w:rPr>
        <w:t>Услуги внутреннего факторинга в России оказывают 28 организаций, услуги международного – 4. Количество российский компаний, использующих внутренний факторинг - 3800, международный – 53. Доля малых предприятий в числе компаний использующих внутренний факторинг – 51%, средних – 32%; доля малых предприятий, использ</w:t>
      </w:r>
      <w:r w:rsidR="005A294F">
        <w:rPr>
          <w:rFonts w:ascii="Times New Roman" w:hAnsi="Times New Roman" w:cs="Times New Roman"/>
          <w:sz w:val="28"/>
          <w:szCs w:val="28"/>
        </w:rPr>
        <w:t>ующих международный факторинг – 0</w:t>
      </w:r>
      <w:r w:rsidRPr="003E11B5">
        <w:rPr>
          <w:rFonts w:ascii="Times New Roman" w:hAnsi="Times New Roman" w:cs="Times New Roman"/>
          <w:sz w:val="28"/>
          <w:szCs w:val="28"/>
        </w:rPr>
        <w:t>%, средних – 15%.</w:t>
      </w:r>
    </w:p>
    <w:p w:rsidR="00144971" w:rsidRDefault="00144971" w:rsidP="0014497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D34C1">
        <w:rPr>
          <w:rFonts w:ascii="Times New Roman" w:hAnsi="Times New Roman" w:cs="Times New Roman"/>
          <w:sz w:val="28"/>
          <w:szCs w:val="28"/>
        </w:rPr>
        <w:t>Предпосылки создания инфраструктуры международных расчетов, ориентированной на поддержку экспорта</w:t>
      </w:r>
      <w:r>
        <w:rPr>
          <w:rFonts w:ascii="Times New Roman" w:hAnsi="Times New Roman" w:cs="Times New Roman"/>
          <w:sz w:val="28"/>
          <w:szCs w:val="28"/>
        </w:rPr>
        <w:t>, с использованием международного факторинга:</w:t>
      </w:r>
    </w:p>
    <w:p w:rsidR="00144971" w:rsidRPr="00CD34C1" w:rsidRDefault="00144971" w:rsidP="0014497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D34C1">
        <w:rPr>
          <w:rFonts w:ascii="Times New Roman" w:hAnsi="Times New Roman" w:cs="Times New Roman"/>
          <w:sz w:val="28"/>
          <w:szCs w:val="28"/>
        </w:rPr>
        <w:t>Внутренн</w:t>
      </w:r>
      <w:r>
        <w:rPr>
          <w:rFonts w:ascii="Times New Roman" w:hAnsi="Times New Roman" w:cs="Times New Roman"/>
          <w:sz w:val="28"/>
          <w:szCs w:val="28"/>
        </w:rPr>
        <w:t>ие</w:t>
      </w:r>
      <w:r w:rsidRPr="00CD34C1">
        <w:rPr>
          <w:rFonts w:ascii="Times New Roman" w:hAnsi="Times New Roman" w:cs="Times New Roman"/>
          <w:sz w:val="28"/>
          <w:szCs w:val="28"/>
        </w:rPr>
        <w:t>:</w:t>
      </w:r>
    </w:p>
    <w:p w:rsidR="00144971" w:rsidRPr="00CD34C1" w:rsidRDefault="00144971" w:rsidP="00144971">
      <w:pPr>
        <w:pStyle w:val="ad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D34C1">
        <w:rPr>
          <w:rFonts w:ascii="Times New Roman" w:hAnsi="Times New Roman" w:cs="Times New Roman"/>
          <w:sz w:val="28"/>
          <w:szCs w:val="28"/>
        </w:rPr>
        <w:t>Повышение доли несырьевого экспорта и увеличение доли продукции МСП в структуре российского экспорта</w:t>
      </w:r>
    </w:p>
    <w:p w:rsidR="00144971" w:rsidRPr="00CD34C1" w:rsidRDefault="00144971" w:rsidP="00144971">
      <w:pPr>
        <w:pStyle w:val="ad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D34C1">
        <w:rPr>
          <w:rFonts w:ascii="Times New Roman" w:hAnsi="Times New Roman" w:cs="Times New Roman"/>
          <w:sz w:val="28"/>
          <w:szCs w:val="28"/>
        </w:rPr>
        <w:t>Рост числа российских экспортеров, в том числе путем вовлечения МСП во внешнеэкономическую деятельность</w:t>
      </w:r>
    </w:p>
    <w:p w:rsidR="00144971" w:rsidRPr="00CD34C1" w:rsidRDefault="00144971" w:rsidP="00144971">
      <w:pPr>
        <w:pStyle w:val="ad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D34C1">
        <w:rPr>
          <w:rFonts w:ascii="Times New Roman" w:hAnsi="Times New Roman" w:cs="Times New Roman"/>
          <w:sz w:val="28"/>
          <w:szCs w:val="28"/>
        </w:rPr>
        <w:t>Реализация концепции создания в России Международного финансового центра</w:t>
      </w:r>
    </w:p>
    <w:p w:rsidR="00144971" w:rsidRDefault="00144971" w:rsidP="0014497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D34C1">
        <w:rPr>
          <w:rFonts w:ascii="Times New Roman" w:hAnsi="Times New Roman" w:cs="Times New Roman"/>
          <w:sz w:val="28"/>
          <w:szCs w:val="28"/>
        </w:rPr>
        <w:t>Внешние:</w:t>
      </w:r>
    </w:p>
    <w:p w:rsidR="00144971" w:rsidRPr="00CD34C1" w:rsidRDefault="00144971" w:rsidP="00144971">
      <w:pPr>
        <w:pStyle w:val="ad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D34C1">
        <w:rPr>
          <w:rFonts w:ascii="Times New Roman" w:hAnsi="Times New Roman" w:cs="Times New Roman"/>
          <w:sz w:val="28"/>
          <w:szCs w:val="28"/>
        </w:rPr>
        <w:t>Повышение конкурентоспособности российских экспортеров</w:t>
      </w:r>
      <w:r>
        <w:rPr>
          <w:rFonts w:ascii="Times New Roman" w:hAnsi="Times New Roman" w:cs="Times New Roman"/>
          <w:sz w:val="28"/>
          <w:szCs w:val="28"/>
        </w:rPr>
        <w:t xml:space="preserve"> и их продукции в условиях ВТО;</w:t>
      </w:r>
    </w:p>
    <w:p w:rsidR="00144971" w:rsidRPr="00CD34C1" w:rsidRDefault="00144971" w:rsidP="00144971">
      <w:pPr>
        <w:pStyle w:val="ad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D34C1">
        <w:rPr>
          <w:rFonts w:ascii="Times New Roman" w:hAnsi="Times New Roman" w:cs="Times New Roman"/>
          <w:sz w:val="28"/>
          <w:szCs w:val="28"/>
        </w:rPr>
        <w:t xml:space="preserve">Обеспечение притока капитала </w:t>
      </w:r>
      <w:r>
        <w:rPr>
          <w:rFonts w:ascii="Times New Roman" w:hAnsi="Times New Roman" w:cs="Times New Roman"/>
          <w:sz w:val="28"/>
          <w:szCs w:val="28"/>
        </w:rPr>
        <w:t>посредством внешнеторговых операций;</w:t>
      </w:r>
    </w:p>
    <w:p w:rsidR="00144971" w:rsidRPr="00CD34C1" w:rsidRDefault="00144971" w:rsidP="00144971">
      <w:pPr>
        <w:pStyle w:val="ad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D34C1">
        <w:rPr>
          <w:rFonts w:ascii="Times New Roman" w:hAnsi="Times New Roman" w:cs="Times New Roman"/>
          <w:sz w:val="28"/>
          <w:szCs w:val="28"/>
        </w:rPr>
        <w:t xml:space="preserve">Поддержание положительного сальдо торгового баланса в условиях </w:t>
      </w:r>
      <w:r>
        <w:rPr>
          <w:rFonts w:ascii="Times New Roman" w:hAnsi="Times New Roman" w:cs="Times New Roman"/>
          <w:sz w:val="28"/>
          <w:szCs w:val="28"/>
        </w:rPr>
        <w:t xml:space="preserve">расширения возможностей импорта в Россию стран-членов </w:t>
      </w:r>
      <w:r w:rsidRPr="00CD34C1">
        <w:rPr>
          <w:rFonts w:ascii="Times New Roman" w:hAnsi="Times New Roman" w:cs="Times New Roman"/>
          <w:sz w:val="28"/>
          <w:szCs w:val="28"/>
        </w:rPr>
        <w:t>ВТО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D34C1" w:rsidRDefault="00CD34C1" w:rsidP="0085666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5666A" w:rsidRDefault="00556F55" w:rsidP="0085666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Ассоциация факторинговых компаний</w:t>
      </w:r>
      <w:r w:rsidR="00CD34C1">
        <w:rPr>
          <w:rFonts w:ascii="Times New Roman" w:hAnsi="Times New Roman" w:cs="Times New Roman"/>
          <w:sz w:val="28"/>
          <w:szCs w:val="28"/>
        </w:rPr>
        <w:t xml:space="preserve"> (АФК)</w:t>
      </w:r>
      <w:r>
        <w:rPr>
          <w:rFonts w:ascii="Times New Roman" w:hAnsi="Times New Roman" w:cs="Times New Roman"/>
          <w:sz w:val="28"/>
          <w:szCs w:val="28"/>
        </w:rPr>
        <w:t xml:space="preserve">, объединяющая банки и специализированные компании с совокупной долей свыше 50% от оборота </w:t>
      </w:r>
      <w:r w:rsidR="00CD34C1">
        <w:rPr>
          <w:rFonts w:ascii="Times New Roman" w:hAnsi="Times New Roman" w:cs="Times New Roman"/>
          <w:sz w:val="28"/>
          <w:szCs w:val="28"/>
        </w:rPr>
        <w:t>факторинга в России, предлагает заинтересованным экспортерам и объединениям экспортеров присоединиться к процессу легитимизации и кодификации международного факторинга в российском законодательстве.</w:t>
      </w:r>
    </w:p>
    <w:p w:rsidR="00CD34C1" w:rsidRDefault="00CD34C1" w:rsidP="0085666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состоянию на апрель 2012 года реализованы следующие мероприятия в этом направлении: </w:t>
      </w:r>
    </w:p>
    <w:p w:rsidR="00CD34C1" w:rsidRPr="00CD34C1" w:rsidRDefault="00CD34C1" w:rsidP="0085666A">
      <w:pPr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D34C1">
        <w:rPr>
          <w:rFonts w:ascii="Times New Roman" w:hAnsi="Times New Roman" w:cs="Times New Roman"/>
          <w:i/>
          <w:sz w:val="28"/>
          <w:szCs w:val="28"/>
        </w:rPr>
        <w:t xml:space="preserve">Со стороны АФК </w:t>
      </w:r>
    </w:p>
    <w:p w:rsidR="00CD34C1" w:rsidRPr="00CD34C1" w:rsidRDefault="00CD34C1" w:rsidP="00CD34C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CD34C1">
        <w:rPr>
          <w:rFonts w:ascii="Times New Roman" w:hAnsi="Times New Roman" w:cs="Times New Roman"/>
          <w:sz w:val="28"/>
          <w:szCs w:val="28"/>
        </w:rPr>
        <w:t>оправки, подготовленные на базе Конвенции УНИДРУА по международным факторинговым операциям, вошли в проект Гражданского кодекса РФ, внесенный Президентом России в Государственную думу в апреле 2012 года;</w:t>
      </w:r>
    </w:p>
    <w:p w:rsidR="00CD34C1" w:rsidRPr="00CD34C1" w:rsidRDefault="00CD34C1" w:rsidP="00CD34C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</w:t>
      </w:r>
      <w:r w:rsidRPr="00CD34C1">
        <w:rPr>
          <w:rFonts w:ascii="Times New Roman" w:hAnsi="Times New Roman" w:cs="Times New Roman"/>
          <w:sz w:val="28"/>
          <w:szCs w:val="28"/>
        </w:rPr>
        <w:t>азработаны предложения по внесению изменений в Федеральный закон «О валютном регулировании и валютном контроле», в Налоговый кодекс РФ, в Кодекс об административных правонарушениях, нормативные акты Банка России;</w:t>
      </w:r>
    </w:p>
    <w:p w:rsidR="00CD34C1" w:rsidRPr="00CD34C1" w:rsidRDefault="00CD34C1" w:rsidP="00CD34C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CD34C1">
        <w:rPr>
          <w:rFonts w:ascii="Times New Roman" w:hAnsi="Times New Roman" w:cs="Times New Roman"/>
          <w:sz w:val="28"/>
          <w:szCs w:val="28"/>
        </w:rPr>
        <w:t>существлен перевод на русский язык текста Конвенции УНИДРУА по международным факторинговым операциям, подготовлен пакет документов для присоединения РФ к Конвенции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D34C1" w:rsidRPr="00CD34C1" w:rsidRDefault="00CD34C1" w:rsidP="00CD34C1">
      <w:pPr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D34C1">
        <w:rPr>
          <w:rFonts w:ascii="Times New Roman" w:hAnsi="Times New Roman" w:cs="Times New Roman"/>
          <w:i/>
          <w:sz w:val="28"/>
          <w:szCs w:val="28"/>
        </w:rPr>
        <w:t>Со стороны Минэкономразвития</w:t>
      </w:r>
      <w:r>
        <w:rPr>
          <w:rFonts w:ascii="Times New Roman" w:hAnsi="Times New Roman" w:cs="Times New Roman"/>
          <w:i/>
          <w:sz w:val="28"/>
          <w:szCs w:val="28"/>
        </w:rPr>
        <w:t xml:space="preserve"> России</w:t>
      </w:r>
      <w:r w:rsidRPr="00CD34C1">
        <w:rPr>
          <w:rFonts w:ascii="Times New Roman" w:hAnsi="Times New Roman" w:cs="Times New Roman"/>
          <w:i/>
          <w:sz w:val="28"/>
          <w:szCs w:val="28"/>
        </w:rPr>
        <w:t xml:space="preserve">: </w:t>
      </w:r>
    </w:p>
    <w:p w:rsidR="00556F55" w:rsidRDefault="00CD34C1" w:rsidP="00CD34C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D34C1">
        <w:rPr>
          <w:rFonts w:ascii="Times New Roman" w:hAnsi="Times New Roman" w:cs="Times New Roman"/>
          <w:sz w:val="28"/>
          <w:szCs w:val="28"/>
        </w:rPr>
        <w:t xml:space="preserve">создан </w:t>
      </w:r>
      <w:r>
        <w:rPr>
          <w:rFonts w:ascii="Times New Roman" w:hAnsi="Times New Roman" w:cs="Times New Roman"/>
          <w:sz w:val="28"/>
          <w:szCs w:val="28"/>
        </w:rPr>
        <w:t xml:space="preserve">специализированный </w:t>
      </w:r>
      <w:r w:rsidRPr="00CD34C1">
        <w:rPr>
          <w:rFonts w:ascii="Times New Roman" w:hAnsi="Times New Roman" w:cs="Times New Roman"/>
          <w:sz w:val="28"/>
          <w:szCs w:val="28"/>
        </w:rPr>
        <w:t>раздел</w:t>
      </w:r>
      <w:r>
        <w:rPr>
          <w:rFonts w:ascii="Times New Roman" w:hAnsi="Times New Roman" w:cs="Times New Roman"/>
          <w:sz w:val="28"/>
          <w:szCs w:val="28"/>
        </w:rPr>
        <w:t xml:space="preserve"> в помощь экспортерам</w:t>
      </w:r>
      <w:r w:rsidRPr="00CD34C1">
        <w:rPr>
          <w:rFonts w:ascii="Times New Roman" w:hAnsi="Times New Roman" w:cs="Times New Roman"/>
          <w:sz w:val="28"/>
          <w:szCs w:val="28"/>
        </w:rPr>
        <w:t xml:space="preserve"> на Едином портале внешнеэкономической информации </w:t>
      </w:r>
      <w:hyperlink r:id="rId8" w:history="1">
        <w:r w:rsidRPr="00234092">
          <w:rPr>
            <w:rStyle w:val="ac"/>
            <w:rFonts w:ascii="Times New Roman" w:hAnsi="Times New Roman" w:cs="Times New Roman"/>
            <w:sz w:val="28"/>
            <w:szCs w:val="28"/>
          </w:rPr>
          <w:t>www.ved.gov.ru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CD34C1" w:rsidRPr="00CD34C1" w:rsidRDefault="00CD34C1" w:rsidP="00CD34C1">
      <w:pPr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D34C1">
        <w:rPr>
          <w:rFonts w:ascii="Times New Roman" w:hAnsi="Times New Roman" w:cs="Times New Roman"/>
          <w:i/>
          <w:sz w:val="28"/>
          <w:szCs w:val="28"/>
        </w:rPr>
        <w:t xml:space="preserve">Со стороны Минпромторга России: </w:t>
      </w:r>
    </w:p>
    <w:p w:rsidR="00CD34C1" w:rsidRDefault="00CD34C1" w:rsidP="00CD34C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CD34C1">
        <w:rPr>
          <w:rFonts w:ascii="Times New Roman" w:hAnsi="Times New Roman" w:cs="Times New Roman"/>
          <w:sz w:val="28"/>
          <w:szCs w:val="28"/>
        </w:rPr>
        <w:t xml:space="preserve">роведен анализ предложений </w:t>
      </w:r>
      <w:r>
        <w:rPr>
          <w:rFonts w:ascii="Times New Roman" w:hAnsi="Times New Roman" w:cs="Times New Roman"/>
          <w:sz w:val="28"/>
          <w:szCs w:val="28"/>
        </w:rPr>
        <w:t xml:space="preserve">АФК </w:t>
      </w:r>
      <w:r w:rsidRPr="00CD34C1">
        <w:rPr>
          <w:rFonts w:ascii="Times New Roman" w:hAnsi="Times New Roman" w:cs="Times New Roman"/>
          <w:sz w:val="28"/>
          <w:szCs w:val="28"/>
        </w:rPr>
        <w:t>и выдано положительное заключение о присоединении к Конвенции УНИДРУА по международным факторинговым операциям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D34C1" w:rsidRPr="00CD34C1" w:rsidRDefault="00CD34C1" w:rsidP="00CD34C1">
      <w:pPr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D34C1">
        <w:rPr>
          <w:rFonts w:ascii="Times New Roman" w:hAnsi="Times New Roman" w:cs="Times New Roman"/>
          <w:i/>
          <w:sz w:val="28"/>
          <w:szCs w:val="28"/>
        </w:rPr>
        <w:t>Со стороны Агентства стратегических инициатив:</w:t>
      </w:r>
    </w:p>
    <w:p w:rsidR="00CD34C1" w:rsidRDefault="00CD34C1" w:rsidP="00CD34C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</w:t>
      </w:r>
      <w:r w:rsidRPr="00CD34C1">
        <w:rPr>
          <w:rFonts w:ascii="Times New Roman" w:hAnsi="Times New Roman" w:cs="Times New Roman"/>
          <w:sz w:val="28"/>
          <w:szCs w:val="28"/>
        </w:rPr>
        <w:t>опрос о поддержке экспорта с использованием механизмов факторинга включен в проект дорожной карты Национальной предпринимательской инициативы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44971" w:rsidRDefault="001449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CD34C1" w:rsidRDefault="00CD34C1" w:rsidP="00CD34C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556F55" w:rsidRDefault="00556F55" w:rsidP="00556F55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6F55">
        <w:rPr>
          <w:rFonts w:ascii="Times New Roman" w:hAnsi="Times New Roman" w:cs="Times New Roman"/>
          <w:b/>
          <w:sz w:val="28"/>
          <w:szCs w:val="28"/>
        </w:rPr>
        <w:t>Справочная информация</w:t>
      </w:r>
    </w:p>
    <w:p w:rsidR="00556F55" w:rsidRPr="00556F55" w:rsidRDefault="00556F55" w:rsidP="00556F55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6F55">
        <w:rPr>
          <w:rFonts w:ascii="Times New Roman" w:hAnsi="Times New Roman" w:cs="Times New Roman"/>
          <w:b/>
          <w:sz w:val="28"/>
          <w:szCs w:val="28"/>
        </w:rPr>
        <w:t>(</w:t>
      </w:r>
      <w:r>
        <w:rPr>
          <w:rFonts w:ascii="Times New Roman" w:hAnsi="Times New Roman" w:cs="Times New Roman"/>
          <w:b/>
          <w:sz w:val="28"/>
          <w:szCs w:val="28"/>
        </w:rPr>
        <w:t xml:space="preserve">по материалам </w:t>
      </w:r>
      <w:r w:rsidRPr="00556F55">
        <w:rPr>
          <w:rFonts w:ascii="Times New Roman" w:hAnsi="Times New Roman" w:cs="Times New Roman"/>
          <w:b/>
          <w:sz w:val="28"/>
          <w:szCs w:val="28"/>
        </w:rPr>
        <w:t>Минэкономразвития России)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sz w:val="28"/>
          <w:szCs w:val="28"/>
        </w:rPr>
        <w:t>Международный факторинг осуществляется по двум моделям: однофакторной и двухфакторной.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i/>
          <w:iCs/>
          <w:sz w:val="28"/>
          <w:szCs w:val="28"/>
        </w:rPr>
        <w:t>Однофакторная модель</w:t>
      </w:r>
      <w:r w:rsidRPr="00F364D3">
        <w:rPr>
          <w:rFonts w:ascii="Times New Roman" w:hAnsi="Times New Roman" w:cs="Times New Roman"/>
          <w:sz w:val="28"/>
          <w:szCs w:val="28"/>
        </w:rPr>
        <w:t> предусматривает оказание комплекса услуг международного факторинга, при котором Фактор и компания-клиент являются резидентами одного государства. Однофакторная модель преимущественно используется при экспортных операциях.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i/>
          <w:iCs/>
          <w:sz w:val="28"/>
          <w:szCs w:val="28"/>
        </w:rPr>
        <w:t>Двухфакторная модель</w:t>
      </w:r>
      <w:r w:rsidRPr="00F364D3">
        <w:rPr>
          <w:rFonts w:ascii="Times New Roman" w:hAnsi="Times New Roman" w:cs="Times New Roman"/>
          <w:sz w:val="28"/>
          <w:szCs w:val="28"/>
        </w:rPr>
        <w:t> предусматривает разделение функций международного факторинга между двумя факторами, являющимися резидентами двух стран, которые представляют поставщик и покупатель соответственно. В результате расчеты и факторинговый сервис предоставляются как поставщику-резиденту, так и покупателю-нерезиденту.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b/>
          <w:bCs/>
          <w:sz w:val="28"/>
          <w:szCs w:val="28"/>
        </w:rPr>
        <w:t>Экспорт-фактор</w:t>
      </w:r>
      <w:r w:rsidRPr="00F364D3">
        <w:rPr>
          <w:rFonts w:ascii="Times New Roman" w:hAnsi="Times New Roman" w:cs="Times New Roman"/>
          <w:sz w:val="28"/>
          <w:szCs w:val="28"/>
        </w:rPr>
        <w:t> - банк или специализированная факторинговая компания, предоставляющие услуги международного факторинга поставщику-экспортеру. В функции Экспорт-фактора могут входить осуществление трансграничных расчетов по внешнеторговым контрактам, финансирование поставщика-экспортера в объеме выручки по экспортному контракту (полностью либо частично), покрытие риска неплатежа со стороны покупателя-нерезидента, а также получение выручки с покупателя-нерезидента.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b/>
          <w:bCs/>
          <w:sz w:val="28"/>
          <w:szCs w:val="28"/>
        </w:rPr>
        <w:t>Импорт-фактор</w:t>
      </w:r>
      <w:r w:rsidRPr="00F364D3">
        <w:rPr>
          <w:rFonts w:ascii="Times New Roman" w:hAnsi="Times New Roman" w:cs="Times New Roman"/>
          <w:sz w:val="28"/>
          <w:szCs w:val="28"/>
        </w:rPr>
        <w:t> - банк или специализированная факторинговая компания, предоставляющая услуги международного факторинга в стране покупателя-нерезидента. Импорт-фактор задействуется при реализации двухфакторной модели международного факторинга. В функции Импорт-фактора могут входить осуществление трансграничных расчетов по внешнеторговым контрактам, покрытие риска неплатежа со стороны покупателя-нерезидента, получение выручки с покупателя-нерезидента.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b/>
          <w:bCs/>
          <w:sz w:val="28"/>
          <w:szCs w:val="28"/>
        </w:rPr>
        <w:t>Договор международного факторинга</w:t>
      </w:r>
      <w:r w:rsidRPr="00F364D3">
        <w:rPr>
          <w:rFonts w:ascii="Times New Roman" w:hAnsi="Times New Roman" w:cs="Times New Roman"/>
          <w:sz w:val="28"/>
          <w:szCs w:val="28"/>
        </w:rPr>
        <w:t> – двусторонний договор о факторинговом обслуживании, заключаемый между резидентами одного государства. Условия договора зависят от вида торговой операции (экспорт или импорт), осуществляемой компанией-резидентом.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b/>
          <w:bCs/>
          <w:sz w:val="28"/>
          <w:szCs w:val="28"/>
        </w:rPr>
        <w:lastRenderedPageBreak/>
        <w:t>Внешнеторговый контракт </w:t>
      </w:r>
      <w:r w:rsidRPr="00F364D3">
        <w:rPr>
          <w:rFonts w:ascii="Times New Roman" w:hAnsi="Times New Roman" w:cs="Times New Roman"/>
          <w:sz w:val="28"/>
          <w:szCs w:val="28"/>
        </w:rPr>
        <w:t>– договор на поставку товаров либо оказание услуг, заключаемый между российской и зарубежной компанией. Копия контракта предоставляется при заключении договора международного факторинга наряду с документами, подтверждающими факт поставки (invoice). Для целей международного факторинга во внешнеторговом контракте должен быть предусмотрен порядок расчетов на условиях отсрочки платежа.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b/>
          <w:bCs/>
          <w:sz w:val="28"/>
          <w:szCs w:val="28"/>
        </w:rPr>
        <w:t>Международная факторинговая ассоциация – </w:t>
      </w:r>
      <w:r w:rsidRPr="00F364D3">
        <w:rPr>
          <w:rFonts w:ascii="Times New Roman" w:hAnsi="Times New Roman" w:cs="Times New Roman"/>
          <w:sz w:val="28"/>
          <w:szCs w:val="28"/>
        </w:rPr>
        <w:t>организация, под эгидой которой осуществляется взаимодействие Экспорт-фактора и Импорт-фактора при реализации международного факторинга по двухфакторной модели. Банк или специализированная компания в России должны являться членами одной из двух МФА – Factors Chain International и/или International Factors Group.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364D3">
        <w:rPr>
          <w:rFonts w:ascii="Times New Roman" w:hAnsi="Times New Roman" w:cs="Times New Roman"/>
          <w:b/>
          <w:bCs/>
          <w:sz w:val="28"/>
          <w:szCs w:val="28"/>
        </w:rPr>
        <w:t>Виды международного факторинга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b/>
          <w:bCs/>
          <w:i/>
          <w:iCs/>
          <w:sz w:val="28"/>
          <w:szCs w:val="28"/>
        </w:rPr>
        <w:t>Экспортный факторинг без права регресса </w:t>
      </w:r>
      <w:r w:rsidRPr="00F364D3">
        <w:rPr>
          <w:rFonts w:ascii="Times New Roman" w:hAnsi="Times New Roman" w:cs="Times New Roman"/>
          <w:sz w:val="28"/>
          <w:szCs w:val="28"/>
        </w:rPr>
        <w:t>– наиболее востребованный российскими компаниями вид международной факторинговой операции, при котором Экспорт-фактор полностью принимает на себя риск неоплаты экспортной поставки покупателем-нерезидентом. Как правило, данный вид международного факторинга реализуется по двухфакторной модели.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sz w:val="28"/>
          <w:szCs w:val="28"/>
        </w:rPr>
        <w:t>Алгоритм реализации экспортного факторинга без права регресса, двухфакторная модель: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sz w:val="28"/>
          <w:szCs w:val="28"/>
        </w:rPr>
        <w:t>1. Для заключения договора международного факторинга необходимо предоставить Экспорт-фактору информацию для анализа финансово-хозяйственной и производственной деятельности экспортера (перечень документов см. в разделе «Профиль фактора»).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sz w:val="28"/>
          <w:szCs w:val="28"/>
        </w:rPr>
        <w:t>Экспортер указывает страны и компании, с которыми ведется ВЭД, предоставляет копии внешнеторговых контрактов на поставки с отсрочкой платежа.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sz w:val="28"/>
          <w:szCs w:val="28"/>
        </w:rPr>
        <w:t>Срок рассмотрения документов и оценки рисков (андеррайтинг) может составить от 7 до 30 дней.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sz w:val="28"/>
          <w:szCs w:val="28"/>
        </w:rPr>
        <w:t>Одновременно Экспорт-фактор через информационную систему FCIили IFGнаправляет запрос Импорт-факторам в государстве покупателя-нерезидента с целью гарантирования возврата выручки и оценки платежеспособности покупателя-нерезидента.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sz w:val="28"/>
          <w:szCs w:val="28"/>
        </w:rPr>
        <w:lastRenderedPageBreak/>
        <w:t>2. После прохождения андеррайтинга и получения подтверждения от Импорт-фактора, заключается договор экспортного факторинга без права регресса (Генеральный договор об общих условиях факторингового обслуживания экспортных поставок). Покупателю-нерезиденту направляется уведомление о его заключении и инструкция об осуществлении платежей.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sz w:val="28"/>
          <w:szCs w:val="28"/>
        </w:rPr>
        <w:t>3. Экспортер осуществляет поставку, в соответствии с договором экспортного факторинга без права регресса передает Экспорт-фактору отгрузочные документы (как правило - оригинал счета-фактуры (инвойса), оригинал или копию товарной накладной (коносамент), копию государственной таможенной декларации (ГТД)), передача денежного требования (права на получение выручки) Экспорт-фактору завершается.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sz w:val="28"/>
          <w:szCs w:val="28"/>
        </w:rPr>
        <w:t>4. Экспорт-фактор, осуществив верификацию поставки, предоставляет экспортеру финансирование в размере от 70 до 100% от суммы инвойса (поставки). Финансирование выплачивается в валюте РФ. Комиссия Экспорт-фактора выплачивается путем удержания процента от суммы финансирования, либо по отдельному счету.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sz w:val="28"/>
          <w:szCs w:val="28"/>
        </w:rPr>
        <w:t>5. Экспортер возвращает финансирование Экспорт-фактору после получения выручки от покупателя-нерезидента. В случае задержки оплаты или отказа от оплаты поставки, сумму выручки экспортеру перечисляет Импорт-фактор.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sz w:val="28"/>
          <w:szCs w:val="28"/>
        </w:rPr>
        <w:t> 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b/>
          <w:bCs/>
          <w:i/>
          <w:iCs/>
          <w:sz w:val="28"/>
          <w:szCs w:val="28"/>
        </w:rPr>
        <w:t>Экспортный факторинг с правом регресса </w:t>
      </w:r>
      <w:r w:rsidRPr="00F364D3">
        <w:rPr>
          <w:rFonts w:ascii="Times New Roman" w:hAnsi="Times New Roman" w:cs="Times New Roman"/>
          <w:sz w:val="28"/>
          <w:szCs w:val="28"/>
        </w:rPr>
        <w:t>– наиболее популярный вид экспортного факторинга в России, отличается низким размером комиссии за риск, так как в комплекс услуг не входит защита от неплатежа со стороны покупателя-нерезидента. Данный вид международного факторинга используется для наращивания объемов экспортных поставок в адрес надежных контрагентов за рубежом, а также для предотвращения кассовых разрывов при длительных отсрочках платежа. Экспортный факторинг с правом регресса чаще реализуется по однофакторной модели.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sz w:val="28"/>
          <w:szCs w:val="28"/>
        </w:rPr>
        <w:t>Алгоритм реализации экспортного факторинга с правом регресса, двухфакторная модель: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sz w:val="28"/>
          <w:szCs w:val="28"/>
        </w:rPr>
        <w:t>1. Для заключения договора международного факторинга необходимо предоставить Экспорт-фактору информацию для анализа финансово-хозяйственной и производственной деятельности экспортера (перечень документов см. в разделе «Профиль фактора»).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sz w:val="28"/>
          <w:szCs w:val="28"/>
        </w:rPr>
        <w:lastRenderedPageBreak/>
        <w:t>Экспортер указывает страны и компании, с которыми ведется ВЭД, предоставляет копии внешнеторговых контрактов на поставки с отсрочкой платежа.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sz w:val="28"/>
          <w:szCs w:val="28"/>
        </w:rPr>
        <w:t>Срок рассмотрения документов и оценки рисков (андеррайтинг) может составить от 7 до 30 дней.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sz w:val="28"/>
          <w:szCs w:val="28"/>
        </w:rPr>
        <w:t>2. После прохождения андеррайтинга заключается договор экспортного факторинга с правом регресса (Генеральный договор об общих условиях факторингового обслуживания экспортных поставок). Покупателю-нерезиденту направляется уведомление о его заключении и инструкция об осуществлении платежей. Согласно платежной инструкции, выручка должна направляться покупателем-нерезидентом на факторинговый счет экспортера в банке Экспорт-фактора.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sz w:val="28"/>
          <w:szCs w:val="28"/>
        </w:rPr>
        <w:t>3. Экспортер осуществляет поставку, в соответствии с договором экспортного факторинга с правом регресса передает Экспорт-фактору отгрузочные документы (как правило - оригинал счета-фактуры (инвойса), оригинал или копию товарной накладной (коносамент), копию государственной таможенной декларации (ГТД)), передача денежного требования (права на получение выручки за конкретную поставку) Экспорт-фактору завершается.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sz w:val="28"/>
          <w:szCs w:val="28"/>
        </w:rPr>
        <w:t>4. Экспорт-фактор, осуществив верификацию поставки, предоставляет экспортеру финансирование в размере от 70 до 100% от суммы инвойса (поставки). Финансирование выплачивается в валюте РФ. Оплата факторинговой комиссии осуществляется путем удержания процента от суммы финансирования, либо путем удержания после поступления выручки от покупателя-нерезидента.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sz w:val="28"/>
          <w:szCs w:val="28"/>
        </w:rPr>
        <w:t>5. В случае не поступления выручки от покупателя-нерезидента, Экспорт-фактор актуализирует период ожидания – срок, в течение которого проводится комплекс мероприятий, направленных на погашение возникшей задолженности. В случае отсутствия возможности получения выручки от покупателя-нерезидента, Экспорт-фактор направляет экспортеру уведомление о наступлении регресса и требование о возврате ранее выплаченного финансирования по неоплаченной покупателем-нерезидентом поставке.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b/>
          <w:bCs/>
          <w:i/>
          <w:iCs/>
          <w:sz w:val="28"/>
          <w:szCs w:val="28"/>
        </w:rPr>
        <w:t>Импортный факторинг</w:t>
      </w:r>
      <w:r w:rsidRPr="00F364D3">
        <w:rPr>
          <w:rFonts w:ascii="Times New Roman" w:hAnsi="Times New Roman" w:cs="Times New Roman"/>
          <w:sz w:val="28"/>
          <w:szCs w:val="28"/>
        </w:rPr>
        <w:t xml:space="preserve"> – крупнейший по объему вид международного факторинга в России. Отличительная особенность импортного факторинга – российская компания-импортер не несет прямых финансовых затрат: при </w:t>
      </w:r>
      <w:r w:rsidRPr="00F364D3">
        <w:rPr>
          <w:rFonts w:ascii="Times New Roman" w:hAnsi="Times New Roman" w:cs="Times New Roman"/>
          <w:sz w:val="28"/>
          <w:szCs w:val="28"/>
        </w:rPr>
        <w:lastRenderedPageBreak/>
        <w:t>двухфакторной модели комиссии за сервис и за финансирование оплачивает поставщик-нерезидент. Импортный факторинг по двухфакторной модели не подразумевает права регресса.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sz w:val="28"/>
          <w:szCs w:val="28"/>
        </w:rPr>
        <w:t>Алгоритм импортного факторинга без права регресса по двухфакторной модели является «зеркальным отражением» алгоритма экспортного факторинга без права регресса.</w:t>
      </w:r>
    </w:p>
    <w:p w:rsidR="00F364D3" w:rsidRPr="00F364D3" w:rsidRDefault="00F364D3" w:rsidP="00F364D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64D3">
        <w:rPr>
          <w:rFonts w:ascii="Times New Roman" w:hAnsi="Times New Roman" w:cs="Times New Roman"/>
          <w:sz w:val="28"/>
          <w:szCs w:val="28"/>
        </w:rPr>
        <w:t>В России также применяется схема импортного факторинга с правом регресса, при которой российский Импорт-фактор выдает банку поставщика-нерезидента гарантию, снимающую риск неоплаты поставки.</w:t>
      </w:r>
    </w:p>
    <w:p w:rsidR="00F364D3" w:rsidRPr="00F364D3" w:rsidRDefault="00F364D3" w:rsidP="00F364D3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AD5EA9" w:rsidRPr="00AD5EA9" w:rsidRDefault="00AD5EA9" w:rsidP="0085666A">
      <w:pPr>
        <w:ind w:firstLine="567"/>
        <w:rPr>
          <w:rFonts w:ascii="Times New Roman" w:hAnsi="Times New Roman" w:cs="Times New Roman"/>
          <w:sz w:val="28"/>
          <w:szCs w:val="28"/>
        </w:rPr>
      </w:pPr>
    </w:p>
    <w:sectPr w:rsidR="00AD5EA9" w:rsidRPr="00AD5EA9" w:rsidSect="0011379C">
      <w:headerReference w:type="default" r:id="rId9"/>
      <w:pgSz w:w="11906" w:h="16838"/>
      <w:pgMar w:top="1134" w:right="850" w:bottom="1134" w:left="1701" w:header="567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65717" w:rsidRDefault="00665717" w:rsidP="0011379C">
      <w:pPr>
        <w:spacing w:after="0" w:line="240" w:lineRule="auto"/>
      </w:pPr>
      <w:r>
        <w:separator/>
      </w:r>
    </w:p>
  </w:endnote>
  <w:endnote w:type="continuationSeparator" w:id="0">
    <w:p w:rsidR="00665717" w:rsidRDefault="00665717" w:rsidP="001137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65717" w:rsidRDefault="00665717" w:rsidP="0011379C">
      <w:pPr>
        <w:spacing w:after="0" w:line="240" w:lineRule="auto"/>
      </w:pPr>
      <w:r>
        <w:separator/>
      </w:r>
    </w:p>
  </w:footnote>
  <w:footnote w:type="continuationSeparator" w:id="0">
    <w:p w:rsidR="00665717" w:rsidRDefault="00665717" w:rsidP="0011379C">
      <w:pPr>
        <w:spacing w:after="0" w:line="240" w:lineRule="auto"/>
      </w:pPr>
      <w:r>
        <w:continuationSeparator/>
      </w:r>
    </w:p>
  </w:footnote>
  <w:footnote w:id="1">
    <w:p w:rsidR="00AD5EA9" w:rsidRDefault="00AD5EA9" w:rsidP="00AD5EA9">
      <w:pPr>
        <w:pStyle w:val="a9"/>
      </w:pPr>
      <w:r>
        <w:rPr>
          <w:rStyle w:val="ab"/>
        </w:rPr>
        <w:footnoteRef/>
      </w:r>
      <w:r>
        <w:t xml:space="preserve"> Пункт 2 статьи 1 Конвенции УНИДРУА по междуна</w:t>
      </w:r>
      <w:r w:rsidR="00BE5D73">
        <w:t>родным факторинговым операциям</w:t>
      </w:r>
      <w:r>
        <w:t xml:space="preserve"> </w:t>
      </w:r>
    </w:p>
  </w:footnote>
  <w:footnote w:id="2">
    <w:p w:rsidR="003E11B5" w:rsidRPr="00F33D3F" w:rsidRDefault="003E11B5" w:rsidP="003E11B5">
      <w:pPr>
        <w:pStyle w:val="a9"/>
      </w:pPr>
      <w:r>
        <w:rPr>
          <w:rStyle w:val="ab"/>
        </w:rPr>
        <w:footnoteRef/>
      </w:r>
      <w:r>
        <w:t xml:space="preserve"> Здесь и далее данные </w:t>
      </w:r>
      <w:r>
        <w:rPr>
          <w:lang w:val="en-US"/>
        </w:rPr>
        <w:t>FCI</w:t>
      </w:r>
      <w:r w:rsidRPr="00F33D3F">
        <w:t xml:space="preserve">, </w:t>
      </w:r>
      <w:r>
        <w:rPr>
          <w:lang w:val="en-US"/>
        </w:rPr>
        <w:t>IFG</w:t>
      </w:r>
      <w:r w:rsidRPr="00F33D3F">
        <w:t xml:space="preserve"> </w:t>
      </w:r>
      <w:r>
        <w:t xml:space="preserve">и </w:t>
      </w:r>
      <w:r>
        <w:rPr>
          <w:lang w:val="en-US"/>
        </w:rPr>
        <w:t>EU</w:t>
      </w:r>
      <w:r w:rsidRPr="00F33D3F">
        <w:t xml:space="preserve"> </w:t>
      </w:r>
      <w:r>
        <w:rPr>
          <w:lang w:val="en-US"/>
        </w:rPr>
        <w:t>Federation</w:t>
      </w:r>
      <w:r>
        <w:t xml:space="preserve"> по итогам 2010 года.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379C" w:rsidRPr="0011379C" w:rsidRDefault="0011379C" w:rsidP="0011379C">
    <w:pPr>
      <w:pStyle w:val="a3"/>
      <w:jc w:val="right"/>
      <w:rPr>
        <w:rFonts w:ascii="Times New Roman" w:hAnsi="Times New Roman" w:cs="Times New Roman"/>
        <w:i/>
      </w:rPr>
    </w:pPr>
    <w:r w:rsidRPr="0011379C">
      <w:rPr>
        <w:rFonts w:ascii="Times New Roman" w:hAnsi="Times New Roman" w:cs="Times New Roman"/>
        <w:i/>
      </w:rPr>
      <w:t>Подготовлено Ассоциацией факторинговых компаний</w:t>
    </w:r>
  </w:p>
  <w:p w:rsidR="0011379C" w:rsidRDefault="0011379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9237D"/>
    <w:multiLevelType w:val="hybridMultilevel"/>
    <w:tmpl w:val="7C543F02"/>
    <w:lvl w:ilvl="0" w:tplc="80AAA22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5248B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1CCE7A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EBA7D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F34A39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37A499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77AA59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0C472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5B0EA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B172648"/>
    <w:multiLevelType w:val="hybridMultilevel"/>
    <w:tmpl w:val="91863C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E61DC"/>
    <w:multiLevelType w:val="hybridMultilevel"/>
    <w:tmpl w:val="08E4770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72AC13F5"/>
    <w:multiLevelType w:val="hybridMultilevel"/>
    <w:tmpl w:val="822A024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77AB314A"/>
    <w:multiLevelType w:val="hybridMultilevel"/>
    <w:tmpl w:val="3D02009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1379C"/>
    <w:rsid w:val="0011379C"/>
    <w:rsid w:val="00114A3C"/>
    <w:rsid w:val="0012311F"/>
    <w:rsid w:val="00144971"/>
    <w:rsid w:val="003E11B5"/>
    <w:rsid w:val="00427604"/>
    <w:rsid w:val="00556F55"/>
    <w:rsid w:val="005A294F"/>
    <w:rsid w:val="00665717"/>
    <w:rsid w:val="006E3BDA"/>
    <w:rsid w:val="0085666A"/>
    <w:rsid w:val="00AD5EA9"/>
    <w:rsid w:val="00BE5D73"/>
    <w:rsid w:val="00C04B13"/>
    <w:rsid w:val="00CD34C1"/>
    <w:rsid w:val="00E77DD1"/>
    <w:rsid w:val="00F364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B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37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1379C"/>
  </w:style>
  <w:style w:type="paragraph" w:styleId="a5">
    <w:name w:val="footer"/>
    <w:basedOn w:val="a"/>
    <w:link w:val="a6"/>
    <w:uiPriority w:val="99"/>
    <w:unhideWhenUsed/>
    <w:rsid w:val="001137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1379C"/>
  </w:style>
  <w:style w:type="paragraph" w:styleId="a7">
    <w:name w:val="Balloon Text"/>
    <w:basedOn w:val="a"/>
    <w:link w:val="a8"/>
    <w:uiPriority w:val="99"/>
    <w:semiHidden/>
    <w:unhideWhenUsed/>
    <w:rsid w:val="001137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1379C"/>
    <w:rPr>
      <w:rFonts w:ascii="Tahoma" w:hAnsi="Tahoma" w:cs="Tahoma"/>
      <w:sz w:val="16"/>
      <w:szCs w:val="16"/>
    </w:rPr>
  </w:style>
  <w:style w:type="paragraph" w:styleId="a9">
    <w:name w:val="footnote text"/>
    <w:basedOn w:val="a"/>
    <w:link w:val="aa"/>
    <w:semiHidden/>
    <w:rsid w:val="00AD5E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semiHidden/>
    <w:rsid w:val="00AD5EA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semiHidden/>
    <w:rsid w:val="00AD5EA9"/>
    <w:rPr>
      <w:vertAlign w:val="superscript"/>
    </w:rPr>
  </w:style>
  <w:style w:type="character" w:styleId="ac">
    <w:name w:val="Hyperlink"/>
    <w:rsid w:val="00AD5EA9"/>
    <w:rPr>
      <w:color w:val="0000FF"/>
      <w:u w:val="single"/>
    </w:rPr>
  </w:style>
  <w:style w:type="paragraph" w:styleId="ad">
    <w:name w:val="List Paragraph"/>
    <w:basedOn w:val="a"/>
    <w:uiPriority w:val="34"/>
    <w:qFormat/>
    <w:rsid w:val="00CD34C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37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1379C"/>
  </w:style>
  <w:style w:type="paragraph" w:styleId="a5">
    <w:name w:val="footer"/>
    <w:basedOn w:val="a"/>
    <w:link w:val="a6"/>
    <w:uiPriority w:val="99"/>
    <w:unhideWhenUsed/>
    <w:rsid w:val="001137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1379C"/>
  </w:style>
  <w:style w:type="paragraph" w:styleId="a7">
    <w:name w:val="Balloon Text"/>
    <w:basedOn w:val="a"/>
    <w:link w:val="a8"/>
    <w:uiPriority w:val="99"/>
    <w:semiHidden/>
    <w:unhideWhenUsed/>
    <w:rsid w:val="001137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1379C"/>
    <w:rPr>
      <w:rFonts w:ascii="Tahoma" w:hAnsi="Tahoma" w:cs="Tahoma"/>
      <w:sz w:val="16"/>
      <w:szCs w:val="16"/>
    </w:rPr>
  </w:style>
  <w:style w:type="paragraph" w:styleId="a9">
    <w:name w:val="footnote text"/>
    <w:basedOn w:val="a"/>
    <w:link w:val="aa"/>
    <w:semiHidden/>
    <w:rsid w:val="00AD5E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semiHidden/>
    <w:rsid w:val="00AD5EA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semiHidden/>
    <w:rsid w:val="00AD5EA9"/>
    <w:rPr>
      <w:vertAlign w:val="superscript"/>
    </w:rPr>
  </w:style>
  <w:style w:type="character" w:styleId="ac">
    <w:name w:val="Hyperlink"/>
    <w:rsid w:val="00AD5EA9"/>
    <w:rPr>
      <w:color w:val="0000FF"/>
      <w:u w:val="single"/>
    </w:rPr>
  </w:style>
  <w:style w:type="paragraph" w:styleId="ad">
    <w:name w:val="List Paragraph"/>
    <w:basedOn w:val="a"/>
    <w:uiPriority w:val="34"/>
    <w:qFormat/>
    <w:rsid w:val="00CD34C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407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88664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874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85050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49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772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1749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60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0926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23274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90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56599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58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76932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6708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00242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977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92712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ed.gov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B0D77F-2959-47B6-8310-FA9A46E993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9</Pages>
  <Words>2374</Words>
  <Characters>13534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</dc:creator>
  <cp:lastModifiedBy>MochalovVV</cp:lastModifiedBy>
  <cp:revision>2</cp:revision>
  <cp:lastPrinted>2012-04-12T07:01:00Z</cp:lastPrinted>
  <dcterms:created xsi:type="dcterms:W3CDTF">2012-04-12T07:16:00Z</dcterms:created>
  <dcterms:modified xsi:type="dcterms:W3CDTF">2012-04-12T07:16:00Z</dcterms:modified>
</cp:coreProperties>
</file>