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6" w:rsidRPr="00EF5FCB" w:rsidRDefault="00EF5FCB" w:rsidP="00EF5FCB">
      <w:pPr>
        <w:spacing w:line="240" w:lineRule="auto"/>
        <w:ind w:firstLine="0"/>
        <w:jc w:val="center"/>
        <w:rPr>
          <w:b/>
          <w:lang w:val="en-US"/>
        </w:rPr>
      </w:pPr>
      <w:r w:rsidRPr="00EF5FCB">
        <w:rPr>
          <w:b/>
          <w:lang w:val="en-US"/>
        </w:rPr>
        <w:t>Innovative activity in Russia in the current economic conditions and how it is influenced by integration process</w:t>
      </w:r>
    </w:p>
    <w:p w:rsidR="00EF5FCB" w:rsidRPr="00EF5FCB" w:rsidRDefault="00EF5FCB">
      <w:pPr>
        <w:rPr>
          <w:lang w:val="en-US"/>
        </w:rPr>
      </w:pPr>
    </w:p>
    <w:p w:rsidR="00B05CA6" w:rsidRPr="00975581" w:rsidRDefault="00B05CA6">
      <w:r w:rsidRPr="00975581">
        <w:t>(</w:t>
      </w:r>
      <w:r>
        <w:t>Слайд</w:t>
      </w:r>
      <w:r w:rsidRPr="00975581">
        <w:t xml:space="preserve"> 1)</w:t>
      </w:r>
    </w:p>
    <w:p w:rsidR="00B05CA6" w:rsidRDefault="00D676A2" w:rsidP="00C14EE3">
      <w:r>
        <w:t xml:space="preserve">Для России вопрос развития инновационного сектора </w:t>
      </w:r>
      <w:r w:rsidR="00DC6A98">
        <w:t>всегда стоял о</w:t>
      </w:r>
      <w:r w:rsidR="007C2A5C">
        <w:t>ч</w:t>
      </w:r>
      <w:r w:rsidR="00DC6A98">
        <w:t xml:space="preserve">ень остро – мы не самая </w:t>
      </w:r>
      <w:proofErr w:type="spellStart"/>
      <w:r w:rsidR="00DC6A98">
        <w:t>инновационно</w:t>
      </w:r>
      <w:proofErr w:type="spellEnd"/>
      <w:r w:rsidR="00DC6A98">
        <w:t xml:space="preserve"> активная экономика.</w:t>
      </w:r>
      <w:r w:rsidR="00C14EE3">
        <w:t xml:space="preserve"> По данным Росстата доля организаций, осуществлявших технологические инноваци</w:t>
      </w:r>
      <w:r w:rsidR="007C2A5C">
        <w:t>и в 2013 году, составляла 8,9 % - это катастрофически мало.</w:t>
      </w:r>
      <w:r w:rsidR="00A74CE5">
        <w:t xml:space="preserve"> В первую очередь это вопрос не санкций, хотя российская экономика очень сильно зависит от импорта оборудования и технологий. Ключевую роль играют внутренние причины.</w:t>
      </w:r>
    </w:p>
    <w:p w:rsidR="00C14EE3" w:rsidRDefault="00C14EE3" w:rsidP="00C14EE3">
      <w:r>
        <w:t>(Слайд 2)</w:t>
      </w:r>
    </w:p>
    <w:p w:rsidR="00A74CE5" w:rsidRDefault="00A74CE5" w:rsidP="00C14EE3">
      <w:r>
        <w:t xml:space="preserve">Тенденция к ухудшению макропоказателей началась задолго до </w:t>
      </w:r>
      <w:r w:rsidR="00675808">
        <w:t xml:space="preserve">событий на Украине. </w:t>
      </w:r>
      <w:r>
        <w:t>На протяжении 13 из последних 20 месяцев инвестиции в основной капитал падали по сравнению с аналогичным периодом предыдущего года</w:t>
      </w:r>
      <w:r w:rsidR="00056453">
        <w:t>, причем падение инвестиций началось еще в сентябре 2012 года</w:t>
      </w:r>
      <w:r>
        <w:t>. Ситуация с промышленным производством не намного лучше. Падение наблюдалось в течение 6 месяцев из 20, в течение еще 4 рост был нулевым или составлял менее 1 %.</w:t>
      </w:r>
    </w:p>
    <w:p w:rsidR="00A74CE5" w:rsidRDefault="00A74CE5" w:rsidP="00C14EE3">
      <w:r>
        <w:t>Заметно ускоряется инфляция. Вряд ли</w:t>
      </w:r>
      <w:r w:rsidR="00056453">
        <w:t xml:space="preserve"> мы вернемся к двузначной цифре </w:t>
      </w:r>
      <w:r>
        <w:t xml:space="preserve">– для этого нет </w:t>
      </w:r>
      <w:proofErr w:type="gramStart"/>
      <w:r>
        <w:t>объективным</w:t>
      </w:r>
      <w:proofErr w:type="gramEnd"/>
      <w:r>
        <w:t xml:space="preserve"> предпосылок, но очевидно, она превзойдет прогнозы и в этом, и в следующем году.</w:t>
      </w:r>
    </w:p>
    <w:p w:rsidR="00386E2F" w:rsidRDefault="00386E2F" w:rsidP="00C14EE3">
      <w:r>
        <w:t xml:space="preserve">На экономических показателях не могли не сказаться санкции. </w:t>
      </w:r>
      <w:proofErr w:type="gramStart"/>
      <w:r>
        <w:t>В соответствии с опросом РСПП н</w:t>
      </w:r>
      <w:r w:rsidRPr="00386E2F">
        <w:t>аиболее «травмирующим» последствием введения санкций для российских компаний оказался запрет на поставки техники, оборудования, технологий – все компании выбрали данный вариант ответа на вопрос «какие именно санкции оказывают влияние на деятельность вашей организации?». 80% отметили</w:t>
      </w:r>
      <w:r>
        <w:t xml:space="preserve"> негативное воздействие на их компании </w:t>
      </w:r>
      <w:r w:rsidRPr="00386E2F">
        <w:t>прекращени</w:t>
      </w:r>
      <w:r>
        <w:t>я</w:t>
      </w:r>
      <w:r w:rsidRPr="00386E2F">
        <w:t>/ограничени</w:t>
      </w:r>
      <w:r>
        <w:t>я</w:t>
      </w:r>
      <w:r w:rsidRPr="00386E2F">
        <w:t xml:space="preserve"> сотрудничества в финансовой сфере.</w:t>
      </w:r>
      <w:proofErr w:type="gramEnd"/>
      <w:r>
        <w:t xml:space="preserve"> Остальные  санкции и их </w:t>
      </w:r>
      <w:bookmarkStart w:id="0" w:name="_GoBack"/>
      <w:bookmarkEnd w:id="0"/>
      <w:r>
        <w:t>последствия носят скорее индивидуальный, максимум – секторальных характер.</w:t>
      </w:r>
    </w:p>
    <w:p w:rsidR="00A74CE5" w:rsidRDefault="00A74CE5" w:rsidP="00A74CE5">
      <w:r>
        <w:t>(Слайд 3)</w:t>
      </w:r>
    </w:p>
    <w:p w:rsidR="00975581" w:rsidRDefault="00975581" w:rsidP="00975581">
      <w:r>
        <w:lastRenderedPageBreak/>
        <w:t>РСПП ежемесячно формирует Индекс деловой среды РСПП на основе опроса компаний-членов. И</w:t>
      </w:r>
      <w:r>
        <w:t xml:space="preserve">ндекс </w:t>
      </w:r>
      <w:proofErr w:type="gramStart"/>
      <w:r>
        <w:t>базируется на субъективных ощущениях бизнеса и не использует</w:t>
      </w:r>
      <w:proofErr w:type="gramEnd"/>
      <w:r>
        <w:t xml:space="preserve"> макроэкономической статистики. </w:t>
      </w:r>
      <w:r>
        <w:t>Компоненты индекса</w:t>
      </w:r>
      <w:r>
        <w:t xml:space="preserve">: 1. Индекс рынка производимой продукции 2. Индекс логистики и инфраструктуры 3. Индекс B2B 4. Индекс B2G 5. Индекс финансовых рынков 6. Индекс личной оценки делового климата 7. Индекс инвестиционной и социальной активности. </w:t>
      </w:r>
      <w:r>
        <w:t xml:space="preserve"> </w:t>
      </w:r>
    </w:p>
    <w:p w:rsidR="00056453" w:rsidRDefault="00975581" w:rsidP="00975581"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="00902C60">
        <w:t xml:space="preserve">Бизнес почувствовал первые признаки стагнации еще в начале 2012 года, а с ноября 2012 года индекс рынка </w:t>
      </w:r>
      <w:r>
        <w:t xml:space="preserve">производимой </w:t>
      </w:r>
      <w:r w:rsidR="00902C60">
        <w:t>продукции устойчиво перешел в негативную зону</w:t>
      </w:r>
      <w:r w:rsidR="00034630">
        <w:t xml:space="preserve"> – ниже 50 пунктов. С</w:t>
      </w:r>
      <w:r>
        <w:t xml:space="preserve">водный индекс деловой среды </w:t>
      </w:r>
      <w:r w:rsidR="00034630">
        <w:t xml:space="preserve">ушел в негатив уже в </w:t>
      </w:r>
      <w:proofErr w:type="gramStart"/>
      <w:r w:rsidR="00034630">
        <w:t>апреле</w:t>
      </w:r>
      <w:proofErr w:type="gramEnd"/>
      <w:r w:rsidR="00034630">
        <w:t xml:space="preserve"> 2012 г.</w:t>
      </w:r>
    </w:p>
    <w:p w:rsidR="00056453" w:rsidRDefault="00056453" w:rsidP="00A74CE5">
      <w:r>
        <w:t>(Слайд 4)</w:t>
      </w:r>
    </w:p>
    <w:p w:rsidR="000F0B07" w:rsidRDefault="00034630" w:rsidP="00C14EE3">
      <w:r>
        <w:t xml:space="preserve">Россия не очень удачно смотрится на фоне партнеров и конкурентов. </w:t>
      </w:r>
      <w:r w:rsidR="00061192">
        <w:t xml:space="preserve">Если сравнить темпы роста ВВП с нашими партнерами по интеграции, очевидно, что мы проигрываем и Казахстану, и Белоруссии. </w:t>
      </w:r>
    </w:p>
    <w:p w:rsidR="00C14EE3" w:rsidRDefault="000F0B07" w:rsidP="00C14EE3">
      <w:r>
        <w:t>В</w:t>
      </w:r>
      <w:r w:rsidR="00061192">
        <w:t>о многом</w:t>
      </w:r>
      <w:r w:rsidR="00A74CE5">
        <w:t xml:space="preserve"> это</w:t>
      </w:r>
      <w:r w:rsidR="00061192">
        <w:t xml:space="preserve"> вопрос качества деловой среды. Россия прибавила в </w:t>
      </w:r>
      <w:proofErr w:type="gramStart"/>
      <w:r w:rsidR="00061192">
        <w:t>рейтинге</w:t>
      </w:r>
      <w:proofErr w:type="gramEnd"/>
      <w:r w:rsidR="00061192">
        <w:t xml:space="preserve"> </w:t>
      </w:r>
      <w:r w:rsidR="00061192">
        <w:rPr>
          <w:lang w:val="en-US"/>
        </w:rPr>
        <w:t>Doing</w:t>
      </w:r>
      <w:r w:rsidR="00061192" w:rsidRPr="00061192">
        <w:t xml:space="preserve"> </w:t>
      </w:r>
      <w:r w:rsidR="00061192">
        <w:rPr>
          <w:lang w:val="en-US"/>
        </w:rPr>
        <w:t>business</w:t>
      </w:r>
      <w:r w:rsidR="00061192">
        <w:t>, переместившись на 92 место, но так и не догнала ни Белоруссию (63 место), ни Казахстан (50 место).</w:t>
      </w:r>
    </w:p>
    <w:p w:rsidR="009E22B5" w:rsidRDefault="000C2795" w:rsidP="00C14EE3">
      <w:r>
        <w:t>Российские компании пока слабо почувствовали влияние интеграционных процессов на их деятельность. Конкуренция</w:t>
      </w:r>
      <w:r w:rsidRPr="00181A61">
        <w:t xml:space="preserve"> со стороны производителей из стран Таможенного союза</w:t>
      </w:r>
      <w:r>
        <w:t xml:space="preserve"> не влияет на деятельность </w:t>
      </w:r>
      <w:r w:rsidR="009E22B5">
        <w:t xml:space="preserve">практически 60 </w:t>
      </w:r>
      <w:r>
        <w:t>% опрошенных РСПП компаний</w:t>
      </w:r>
      <w:r w:rsidRPr="00181A61">
        <w:t>.</w:t>
      </w:r>
      <w:r>
        <w:t xml:space="preserve"> </w:t>
      </w:r>
    </w:p>
    <w:p w:rsidR="000C2795" w:rsidRPr="00061192" w:rsidRDefault="000C2795" w:rsidP="00C14EE3">
      <w:r>
        <w:t xml:space="preserve">Правда, углубление интеграции в рамках Евразийского экономического союза с одной стороны, и ухудшение </w:t>
      </w:r>
      <w:r w:rsidR="009E22B5">
        <w:t>условий ведения бизнеса в России</w:t>
      </w:r>
      <w:r>
        <w:t xml:space="preserve"> с другой может </w:t>
      </w:r>
      <w:r w:rsidR="009E22B5">
        <w:t>усилить конкуренцию юрисдикций, которую мы уже проигрываем</w:t>
      </w:r>
      <w:r>
        <w:t>.</w:t>
      </w:r>
      <w:r w:rsidR="009E22B5">
        <w:t xml:space="preserve"> Очевидное последствие – дальнейшее снижение макроэкономических показателей.</w:t>
      </w:r>
    </w:p>
    <w:p w:rsidR="00A74CE5" w:rsidRDefault="00034630">
      <w:r>
        <w:t>(Слайд 5)</w:t>
      </w:r>
    </w:p>
    <w:p w:rsidR="000C2795" w:rsidRDefault="00034630">
      <w:r>
        <w:t xml:space="preserve">Прогнозы органов власти </w:t>
      </w:r>
      <w:r w:rsidR="000C2795">
        <w:t xml:space="preserve">- 1,2 % роста ВВП в 2015 году в базовом сценарии - </w:t>
      </w:r>
      <w:r>
        <w:t xml:space="preserve">выглядят слишком оптимистичными, поскольку базируются на </w:t>
      </w:r>
      <w:r>
        <w:lastRenderedPageBreak/>
        <w:t>завышенной цене на нефть – 100 долларов США за баррель не</w:t>
      </w:r>
      <w:r w:rsidR="001F1FF1">
        <w:t>фти в 2015 году, рост инвестиций в основной капитал – 2,4 % и инфляци</w:t>
      </w:r>
      <w:r w:rsidR="000C2795">
        <w:t>я</w:t>
      </w:r>
      <w:r w:rsidR="001F1FF1">
        <w:t xml:space="preserve"> 5,1 %. </w:t>
      </w:r>
    </w:p>
    <w:p w:rsidR="00A74CE5" w:rsidRDefault="00115995">
      <w:r>
        <w:t xml:space="preserve">В </w:t>
      </w:r>
      <w:proofErr w:type="gramStart"/>
      <w:r>
        <w:t>соответствии</w:t>
      </w:r>
      <w:proofErr w:type="gramEnd"/>
      <w:r>
        <w:t xml:space="preserve"> с</w:t>
      </w:r>
      <w:r w:rsidR="000C2795">
        <w:t xml:space="preserve"> ранее разработанным</w:t>
      </w:r>
      <w:r>
        <w:t xml:space="preserve"> стрессовым сценарием Минэкономразвития России</w:t>
      </w:r>
      <w:r w:rsidR="000C2795">
        <w:t xml:space="preserve"> при</w:t>
      </w:r>
      <w:r w:rsidR="000C2795" w:rsidRPr="000C2795">
        <w:t xml:space="preserve"> </w:t>
      </w:r>
      <w:r w:rsidR="000C2795">
        <w:t>снижении</w:t>
      </w:r>
      <w:r w:rsidR="000C2795" w:rsidRPr="000C2795">
        <w:t xml:space="preserve"> в 2015 году цены на нефть до 91 долл./баррель </w:t>
      </w:r>
      <w:r w:rsidR="000C2795">
        <w:t>вероятно</w:t>
      </w:r>
      <w:r w:rsidR="000C2795" w:rsidRPr="000C2795">
        <w:t xml:space="preserve"> падение ВВП на 0,6%.</w:t>
      </w:r>
      <w:r w:rsidR="000C2795">
        <w:t xml:space="preserve"> Банк России завершает подготовку стрессового сценария при цене на нефть 60 долларов за баррель, результат может оказаться еще ниже.</w:t>
      </w:r>
    </w:p>
    <w:p w:rsidR="000C2795" w:rsidRDefault="000C2795" w:rsidP="000C2795">
      <w:r>
        <w:t>Высокие темпы роста не будут характерны для российской экономики и в среднесрочной перспективе. Прогноз до 2030 года еще предстоит пересчитать, но оснований для оптимизма нет.</w:t>
      </w:r>
    </w:p>
    <w:p w:rsidR="00A74CE5" w:rsidRDefault="000C2795" w:rsidP="000C2795">
      <w:r>
        <w:t>(Слайд 6)</w:t>
      </w:r>
    </w:p>
    <w:p w:rsidR="00CA314C" w:rsidRDefault="00CA314C" w:rsidP="000C2795">
      <w:r>
        <w:t>Попробовать совершить рывок можно благодаря инновационной активности компаний. Определенные предпосылки для этого есть.</w:t>
      </w:r>
      <w:r w:rsidR="00C437C1">
        <w:t xml:space="preserve"> Если проанализировать инновационные и технологические компоненты </w:t>
      </w:r>
      <w:proofErr w:type="spellStart"/>
      <w:r w:rsidR="00727AAC" w:rsidRPr="00727AAC">
        <w:t>Global</w:t>
      </w:r>
      <w:proofErr w:type="spellEnd"/>
      <w:r w:rsidR="00727AAC" w:rsidRPr="00727AAC">
        <w:t xml:space="preserve"> </w:t>
      </w:r>
      <w:proofErr w:type="spellStart"/>
      <w:r w:rsidR="00727AAC" w:rsidRPr="00727AAC">
        <w:t>Competitiveness</w:t>
      </w:r>
      <w:proofErr w:type="spellEnd"/>
      <w:r w:rsidR="00727AAC" w:rsidRPr="00727AAC">
        <w:t xml:space="preserve"> </w:t>
      </w:r>
      <w:proofErr w:type="spellStart"/>
      <w:r w:rsidR="00727AAC" w:rsidRPr="00727AAC">
        <w:t>Index</w:t>
      </w:r>
      <w:proofErr w:type="spellEnd"/>
      <w:r w:rsidR="00727AAC" w:rsidRPr="00727AAC">
        <w:t xml:space="preserve"> 201</w:t>
      </w:r>
      <w:r w:rsidR="00C437C1">
        <w:t>4</w:t>
      </w:r>
      <w:r w:rsidR="00727AAC" w:rsidRPr="00727AAC">
        <w:t>-201</w:t>
      </w:r>
      <w:r w:rsidR="00C437C1">
        <w:t>5</w:t>
      </w:r>
      <w:r w:rsidR="00727AAC">
        <w:t xml:space="preserve"> </w:t>
      </w:r>
      <w:r w:rsidR="00D75B39">
        <w:t xml:space="preserve">Россия обгоняет Казахстан по качеству научных исследовательских институтов и патентам, но уступает по доступности новых технологий и трансферу технологий. </w:t>
      </w:r>
      <w:proofErr w:type="gramStart"/>
      <w:r w:rsidR="00C437C1">
        <w:t>В целом можно говорить о балансе оценок (</w:t>
      </w:r>
      <w:r w:rsidR="00C437C1" w:rsidRPr="00C437C1">
        <w:rPr>
          <w:i/>
        </w:rPr>
        <w:t>Справочно:</w:t>
      </w:r>
      <w:proofErr w:type="gramEnd"/>
      <w:r w:rsidR="00C437C1" w:rsidRPr="00C437C1">
        <w:rPr>
          <w:i/>
        </w:rPr>
        <w:t xml:space="preserve"> </w:t>
      </w:r>
      <w:proofErr w:type="gramStart"/>
      <w:r w:rsidR="00C437C1" w:rsidRPr="00C437C1">
        <w:rPr>
          <w:i/>
        </w:rPr>
        <w:t xml:space="preserve">Белоруссия в данном </w:t>
      </w:r>
      <w:proofErr w:type="spellStart"/>
      <w:r w:rsidR="00C437C1" w:rsidRPr="00C437C1">
        <w:rPr>
          <w:i/>
        </w:rPr>
        <w:t>рэнкинге</w:t>
      </w:r>
      <w:proofErr w:type="spellEnd"/>
      <w:r w:rsidR="00C437C1" w:rsidRPr="00C437C1">
        <w:rPr>
          <w:i/>
        </w:rPr>
        <w:t xml:space="preserve"> не рассматривается</w:t>
      </w:r>
      <w:r w:rsidR="00C437C1">
        <w:t>).</w:t>
      </w:r>
      <w:proofErr w:type="gramEnd"/>
    </w:p>
    <w:p w:rsidR="00386DC6" w:rsidRDefault="00386DC6" w:rsidP="000C2795">
      <w:r>
        <w:t>(Слайд 7)</w:t>
      </w:r>
    </w:p>
    <w:p w:rsidR="008F078A" w:rsidRDefault="00386DC6" w:rsidP="000C2795">
      <w:r>
        <w:t xml:space="preserve">Сравнение инновационной активности со странами БРИК еще менее комплементарно. </w:t>
      </w:r>
    </w:p>
    <w:p w:rsidR="00386DC6" w:rsidRDefault="00C437C1" w:rsidP="000C2795">
      <w:r>
        <w:t xml:space="preserve">Индию Россия обгоняет </w:t>
      </w:r>
      <w:r w:rsidR="008F078A">
        <w:t xml:space="preserve">только </w:t>
      </w:r>
      <w:r>
        <w:t>по трем параметрам (</w:t>
      </w:r>
      <w:r w:rsidRPr="008F078A">
        <w:rPr>
          <w:i/>
        </w:rPr>
        <w:t>количество патентов, уровень восприятия технологий компаниями и доступност</w:t>
      </w:r>
      <w:r w:rsidR="008F078A">
        <w:rPr>
          <w:i/>
        </w:rPr>
        <w:t>ь</w:t>
      </w:r>
      <w:r w:rsidRPr="008F078A">
        <w:rPr>
          <w:i/>
        </w:rPr>
        <w:t xml:space="preserve"> новых технологий</w:t>
      </w:r>
      <w:r>
        <w:t>)</w:t>
      </w:r>
      <w:r w:rsidR="008F078A">
        <w:t xml:space="preserve">, </w:t>
      </w:r>
      <w:r>
        <w:t>Бразилию - по двум параметрам (</w:t>
      </w:r>
      <w:r w:rsidRPr="008F078A">
        <w:rPr>
          <w:i/>
        </w:rPr>
        <w:t>количество патентов и доступность исследователей и инженеров</w:t>
      </w:r>
      <w:r>
        <w:t xml:space="preserve">). Китаю Россия уступает по всем показателям. </w:t>
      </w:r>
    </w:p>
    <w:p w:rsidR="00156A9E" w:rsidRDefault="00156A9E" w:rsidP="000C2795">
      <w:r>
        <w:t>(Слайд 8)</w:t>
      </w:r>
    </w:p>
    <w:p w:rsidR="00156A9E" w:rsidRDefault="008F078A" w:rsidP="000C2795">
      <w:r>
        <w:lastRenderedPageBreak/>
        <w:t>Учитывая перечень проблем, с которыми сталкивается предпринимательское сообщество России, недостаточная инвестиционная и инновационная активность не вызывает удивления.</w:t>
      </w:r>
    </w:p>
    <w:p w:rsidR="008F078A" w:rsidRDefault="008F078A" w:rsidP="000C2795">
      <w:proofErr w:type="gramStart"/>
      <w:r>
        <w:t xml:space="preserve">Бизнес много делает для </w:t>
      </w:r>
      <w:r w:rsidR="00AE166E">
        <w:t>повышения эффективности системы профессионального образования (</w:t>
      </w:r>
      <w:r w:rsidR="00AE166E" w:rsidRPr="00B42611">
        <w:rPr>
          <w:i/>
        </w:rPr>
        <w:t xml:space="preserve">системная работа – </w:t>
      </w:r>
      <w:proofErr w:type="spellStart"/>
      <w:r w:rsidR="00AE166E" w:rsidRPr="00B42611">
        <w:rPr>
          <w:i/>
        </w:rPr>
        <w:t>профстандарты</w:t>
      </w:r>
      <w:proofErr w:type="spellEnd"/>
      <w:r w:rsidR="00AE166E" w:rsidRPr="00B42611">
        <w:rPr>
          <w:i/>
        </w:rPr>
        <w:t>, Национальный совет по проф</w:t>
      </w:r>
      <w:r w:rsidR="00BA2C52" w:rsidRPr="00B42611">
        <w:rPr>
          <w:i/>
        </w:rPr>
        <w:t xml:space="preserve">ессиональным </w:t>
      </w:r>
      <w:r w:rsidR="00AE166E" w:rsidRPr="00B42611">
        <w:rPr>
          <w:i/>
        </w:rPr>
        <w:t>квалификациям</w:t>
      </w:r>
      <w:r w:rsidR="00BA2C52" w:rsidRPr="00B42611">
        <w:rPr>
          <w:i/>
        </w:rPr>
        <w:t xml:space="preserve">, «индивидуальная» работа – корпоративные университеты, оплата обучения целевых студентов, </w:t>
      </w:r>
      <w:r w:rsidR="00B42611" w:rsidRPr="00B42611">
        <w:rPr>
          <w:i/>
        </w:rPr>
        <w:t>производственная практика, покупка оборудования и оснащение лабораторий в учреждениях профобразования,</w:t>
      </w:r>
      <w:r w:rsidR="00B42611">
        <w:t xml:space="preserve"> оплата стажировок преподавателей и т.д.</w:t>
      </w:r>
      <w:r w:rsidR="00AE166E">
        <w:t>), но дефицит кадров необходимой квалификации остается главным ограничителем для развития бизнеса.</w:t>
      </w:r>
      <w:proofErr w:type="gramEnd"/>
    </w:p>
    <w:p w:rsidR="00091557" w:rsidRDefault="00B42611" w:rsidP="000C2795">
      <w:r>
        <w:t xml:space="preserve">На третьем месте в списке ограничений уровень налоговой нагрузки, на седьмом – нагрузка в части обязательного социального страхования. </w:t>
      </w:r>
      <w:r w:rsidR="00B933F6">
        <w:t>Последовательно у</w:t>
      </w:r>
      <w:r>
        <w:t>величивается нагрузка по обоим компонентам фискальной системы.</w:t>
      </w:r>
      <w:r w:rsidR="00B933F6">
        <w:t xml:space="preserve"> </w:t>
      </w:r>
    </w:p>
    <w:p w:rsidR="00B42611" w:rsidRDefault="00091557" w:rsidP="000C2795">
      <w:r>
        <w:t>Предлагаемые н</w:t>
      </w:r>
      <w:r w:rsidR="00B933F6">
        <w:t>овации</w:t>
      </w:r>
      <w:r>
        <w:t xml:space="preserve"> </w:t>
      </w:r>
      <w:r w:rsidR="00B933F6">
        <w:t>– увеличение ставок налога на доходы от дивидендов; рост ставок водного налога; отказ от пороговой величины заработной платы, свыше которого ранее не взимались взносы в Фонд обязательного медицинского страхования; рост нагрузки на малый бизнес</w:t>
      </w:r>
      <w:r>
        <w:t xml:space="preserve"> через появление новых сборов за право заниматься отдельными видами деятельности и возможность снижения порогового значения оборота и количества занятых для получения права на использование упрощенной системы налогообложения; </w:t>
      </w:r>
      <w:r w:rsidR="00B933F6">
        <w:t>«нефтяной налоговый маневр».</w:t>
      </w:r>
    </w:p>
    <w:p w:rsidR="00091557" w:rsidRDefault="00091557" w:rsidP="000C2795">
      <w:r>
        <w:t xml:space="preserve">Эти инициативы увеличат нагрузку на бизнес в </w:t>
      </w:r>
      <w:proofErr w:type="gramStart"/>
      <w:r>
        <w:t>условиях</w:t>
      </w:r>
      <w:proofErr w:type="gramEnd"/>
      <w:r>
        <w:t xml:space="preserve"> экономической стагнации и высокого уровня внешней неопределенности.</w:t>
      </w:r>
    </w:p>
    <w:p w:rsidR="00156A9E" w:rsidRDefault="00156A9E" w:rsidP="000C2795">
      <w:r>
        <w:t>(Слайд 9)</w:t>
      </w:r>
    </w:p>
    <w:p w:rsidR="00156A9E" w:rsidRDefault="00AE166E" w:rsidP="000C2795">
      <w:r>
        <w:t>В завершение выступления – немного позитивной информации.</w:t>
      </w:r>
      <w:r w:rsidR="00091557">
        <w:t xml:space="preserve"> В России существует разветвленная система институтов развития, в том числе ориентированных на поддержку инновационных проектов.</w:t>
      </w:r>
    </w:p>
    <w:p w:rsidR="00091557" w:rsidRDefault="00091557" w:rsidP="000C2795">
      <w:r>
        <w:t>Формируются новые институты и инструменты</w:t>
      </w:r>
      <w:r w:rsidR="00B966B8">
        <w:t xml:space="preserve"> поддержки бизнеса</w:t>
      </w:r>
      <w:r>
        <w:t>.</w:t>
      </w:r>
    </w:p>
    <w:p w:rsidR="00552698" w:rsidRDefault="00091557" w:rsidP="00552698">
      <w:r w:rsidRPr="00552698">
        <w:rPr>
          <w:b/>
        </w:rPr>
        <w:lastRenderedPageBreak/>
        <w:t>Май 2014 г. - Агентство</w:t>
      </w:r>
      <w:r w:rsidR="00552698" w:rsidRPr="00552698">
        <w:rPr>
          <w:b/>
        </w:rPr>
        <w:t xml:space="preserve"> кредитных организаций.</w:t>
      </w:r>
      <w:r w:rsidR="00552698">
        <w:t xml:space="preserve"> Задача - предоставление </w:t>
      </w:r>
      <w:proofErr w:type="spellStart"/>
      <w:r w:rsidR="00552698">
        <w:t>контргарантий</w:t>
      </w:r>
      <w:proofErr w:type="spellEnd"/>
      <w:r w:rsidR="00552698">
        <w:t xml:space="preserve"> региональным гарантийным организациям для увеличения объёмов гарантийной поддержки малых и средних предприятий и прямых гарантий субъектам МСП, реализующим инвестиционные проекты, в случае, когда сумма кредита превышает возможности региональных гарантийных организаций предоставить поручительства в достаточной для обеспечения кредита сумме.</w:t>
      </w:r>
    </w:p>
    <w:p w:rsidR="00552698" w:rsidRDefault="00552698" w:rsidP="00552698">
      <w:r>
        <w:t xml:space="preserve">Бизнес-планом агентства на пять лет с учётом уставного капитала в сумме 50 </w:t>
      </w:r>
      <w:proofErr w:type="gramStart"/>
      <w:r>
        <w:t>млрд</w:t>
      </w:r>
      <w:proofErr w:type="gramEnd"/>
      <w:r>
        <w:t xml:space="preserve"> рублей предусматриваются следующие финансово-экономические результаты:</w:t>
      </w:r>
    </w:p>
    <w:p w:rsidR="00552698" w:rsidRDefault="00552698" w:rsidP="00552698">
      <w:r>
        <w:t xml:space="preserve">- совокупный объём выданных гарантий – не менее 439,9 </w:t>
      </w:r>
      <w:proofErr w:type="gramStart"/>
      <w:r>
        <w:t>млрд</w:t>
      </w:r>
      <w:proofErr w:type="gramEnd"/>
      <w:r>
        <w:t xml:space="preserve"> рублей;</w:t>
      </w:r>
    </w:p>
    <w:p w:rsidR="00552698" w:rsidRDefault="00552698" w:rsidP="00552698">
      <w:r>
        <w:t xml:space="preserve">- совокупный объём обеспеченных гарантиями кредитов МСП – 824,9–879,9 </w:t>
      </w:r>
      <w:proofErr w:type="gramStart"/>
      <w:r>
        <w:t>млрд</w:t>
      </w:r>
      <w:proofErr w:type="gramEnd"/>
      <w:r>
        <w:t xml:space="preserve"> рублей;</w:t>
      </w:r>
    </w:p>
    <w:p w:rsidR="00552698" w:rsidRDefault="00552698" w:rsidP="00552698">
      <w:r>
        <w:t>- общее количество выданных гарантий – 7321–7732 договора.</w:t>
      </w:r>
    </w:p>
    <w:p w:rsidR="00B966B8" w:rsidRPr="00AE166E" w:rsidRDefault="00B966B8" w:rsidP="00B966B8">
      <w:pPr>
        <w:tabs>
          <w:tab w:val="num" w:pos="720"/>
        </w:tabs>
      </w:pPr>
      <w:r w:rsidRPr="00B966B8">
        <w:rPr>
          <w:b/>
        </w:rPr>
        <w:t>Август 2014 – Фонд развития промышленности.</w:t>
      </w:r>
      <w:r>
        <w:t xml:space="preserve"> О</w:t>
      </w:r>
      <w:r w:rsidRPr="00AE166E">
        <w:t xml:space="preserve">сновная задача – выдача займов на этапе </w:t>
      </w:r>
      <w:proofErr w:type="spellStart"/>
      <w:r w:rsidRPr="00AE166E">
        <w:t>предбанковского</w:t>
      </w:r>
      <w:proofErr w:type="spellEnd"/>
      <w:r w:rsidRPr="00AE166E">
        <w:t xml:space="preserve"> финансирования промышленных предприятий (разработка научно-исследовательских и опытно-конструкторских работ, технико-экономических и финансово-экономических обоснований, проектно-изыскательских работ).</w:t>
      </w:r>
      <w:r>
        <w:t xml:space="preserve"> Создается на базе </w:t>
      </w:r>
      <w:r w:rsidRPr="00AE166E">
        <w:t>«Российск</w:t>
      </w:r>
      <w:r>
        <w:t xml:space="preserve">ого </w:t>
      </w:r>
      <w:r w:rsidRPr="00AE166E">
        <w:t>фонд</w:t>
      </w:r>
      <w:r>
        <w:t>а</w:t>
      </w:r>
      <w:r w:rsidRPr="00AE166E">
        <w:t xml:space="preserve"> технологического развития».</w:t>
      </w:r>
      <w:r>
        <w:t xml:space="preserve"> </w:t>
      </w:r>
      <w:r w:rsidRPr="00AE166E">
        <w:t xml:space="preserve">Финансирование </w:t>
      </w:r>
      <w:r>
        <w:t>Ф</w:t>
      </w:r>
      <w:r w:rsidRPr="00AE166E">
        <w:t xml:space="preserve">онда развития промышленности предусмотрено за счёт средств федерального бюджета: в 2014 году – в размере 1 </w:t>
      </w:r>
      <w:proofErr w:type="gramStart"/>
      <w:r w:rsidRPr="00AE166E">
        <w:t>млрд</w:t>
      </w:r>
      <w:proofErr w:type="gramEnd"/>
      <w:r w:rsidRPr="00AE166E">
        <w:t xml:space="preserve"> рублей, в 2015–2017 годах – 18,5 млрд рублей.</w:t>
      </w:r>
    </w:p>
    <w:p w:rsidR="00AE166E" w:rsidRDefault="00091557" w:rsidP="00AE166E">
      <w:r w:rsidRPr="00B966B8">
        <w:rPr>
          <w:b/>
        </w:rPr>
        <w:t xml:space="preserve">Октябрь - </w:t>
      </w:r>
      <w:r w:rsidR="00AE166E" w:rsidRPr="00B966B8">
        <w:rPr>
          <w:b/>
        </w:rPr>
        <w:t>Программ</w:t>
      </w:r>
      <w:r w:rsidR="00B966B8" w:rsidRPr="00B966B8">
        <w:rPr>
          <w:b/>
        </w:rPr>
        <w:t>а</w:t>
      </w:r>
      <w:r w:rsidR="00AE166E" w:rsidRPr="00B966B8">
        <w:rPr>
          <w:b/>
        </w:rPr>
        <w:t xml:space="preserve"> поддержки инвестиционных проектов, реализуемых на территории Российской </w:t>
      </w:r>
      <w:proofErr w:type="gramStart"/>
      <w:r w:rsidR="00AE166E" w:rsidRPr="00B966B8">
        <w:rPr>
          <w:b/>
        </w:rPr>
        <w:t>Федерации</w:t>
      </w:r>
      <w:proofErr w:type="gramEnd"/>
      <w:r w:rsidR="00AE166E" w:rsidRPr="00B966B8">
        <w:rPr>
          <w:b/>
        </w:rPr>
        <w:t xml:space="preserve"> на основе проектного финансирования</w:t>
      </w:r>
      <w:r w:rsidR="00B966B8">
        <w:t xml:space="preserve">. </w:t>
      </w:r>
      <w:r w:rsidR="00AE166E">
        <w:t>Источник финансирования – кредитные средства Банка России. Банк России предоставляет средства отобранным для участия в Программе уполномоченным банкам для рефинансирования кредитов на реализацию инвестиционных проектов.</w:t>
      </w:r>
      <w:r w:rsidR="00B966B8">
        <w:t xml:space="preserve"> </w:t>
      </w:r>
    </w:p>
    <w:p w:rsidR="00B966B8" w:rsidRDefault="00B966B8" w:rsidP="00AE166E">
      <w:r>
        <w:lastRenderedPageBreak/>
        <w:t>Р</w:t>
      </w:r>
      <w:r w:rsidRPr="00B966B8">
        <w:t>азмер процентной ставки для конечн</w:t>
      </w:r>
      <w:r>
        <w:t>ого</w:t>
      </w:r>
      <w:r w:rsidRPr="00B966B8">
        <w:t xml:space="preserve"> заемщик</w:t>
      </w:r>
      <w:r>
        <w:t>а</w:t>
      </w:r>
      <w:r w:rsidRPr="00B966B8">
        <w:t xml:space="preserve"> не должен превышать уровень ключевой ставки Центрального банка Российской Федерации плюс 1 процент годовых</w:t>
      </w:r>
      <w:r>
        <w:t xml:space="preserve">, </w:t>
      </w:r>
      <w:r w:rsidRPr="00B966B8">
        <w:t>полная сто</w:t>
      </w:r>
      <w:r>
        <w:t xml:space="preserve">имость инвестиционного проекта - </w:t>
      </w:r>
      <w:r w:rsidRPr="00B966B8">
        <w:t>не менее 1 млрд. руб</w:t>
      </w:r>
      <w:r>
        <w:t>лей и не более 20 млрд. рублей</w:t>
      </w:r>
      <w:r w:rsidR="00552698">
        <w:t xml:space="preserve"> (</w:t>
      </w:r>
      <w:r w:rsidR="00E954EF">
        <w:t xml:space="preserve">для конечного заемщика </w:t>
      </w:r>
      <w:r w:rsidR="00552698" w:rsidRPr="00552698">
        <w:t xml:space="preserve">наличие статуса юридического лица, зарегистрированного на </w:t>
      </w:r>
      <w:r w:rsidR="00E954EF">
        <w:t>территории Российской Федерации</w:t>
      </w:r>
      <w:r w:rsidR="00552698">
        <w:t>)</w:t>
      </w:r>
      <w:r>
        <w:t>.</w:t>
      </w:r>
    </w:p>
    <w:p w:rsidR="00156A9E" w:rsidRDefault="00B966B8" w:rsidP="00AE166E">
      <w:r>
        <w:t>В</w:t>
      </w:r>
      <w:r w:rsidR="00AE166E">
        <w:t xml:space="preserve"> рамках создаваемого механизма проектного финансирования планируется предоставить кредиты в объёме до 500 </w:t>
      </w:r>
      <w:proofErr w:type="gramStart"/>
      <w:r w:rsidR="00AE166E">
        <w:t>млрд</w:t>
      </w:r>
      <w:proofErr w:type="gramEnd"/>
      <w:r w:rsidR="00AE166E">
        <w:t xml:space="preserve"> рублей нараст</w:t>
      </w:r>
      <w:r>
        <w:t>ающим итогом на конец 2018 года, а также</w:t>
      </w:r>
      <w:r w:rsidR="00AE166E">
        <w:t xml:space="preserve"> государственные гарантии в объёме до 125 млрд рублей.</w:t>
      </w:r>
    </w:p>
    <w:sectPr w:rsidR="00156A9E" w:rsidSect="00727AAC">
      <w:headerReference w:type="default" r:id="rId8"/>
      <w:pgSz w:w="11906" w:h="16838"/>
      <w:pgMar w:top="1134" w:right="1191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0A" w:rsidRDefault="0080000A" w:rsidP="00727AAC">
      <w:pPr>
        <w:spacing w:line="240" w:lineRule="auto"/>
      </w:pPr>
      <w:r>
        <w:separator/>
      </w:r>
    </w:p>
  </w:endnote>
  <w:endnote w:type="continuationSeparator" w:id="0">
    <w:p w:rsidR="0080000A" w:rsidRDefault="0080000A" w:rsidP="0072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0A" w:rsidRDefault="0080000A" w:rsidP="00727AAC">
      <w:pPr>
        <w:spacing w:line="240" w:lineRule="auto"/>
      </w:pPr>
      <w:r>
        <w:separator/>
      </w:r>
    </w:p>
  </w:footnote>
  <w:footnote w:type="continuationSeparator" w:id="0">
    <w:p w:rsidR="0080000A" w:rsidRDefault="0080000A" w:rsidP="0072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45389"/>
      <w:docPartObj>
        <w:docPartGallery w:val="Page Numbers (Top of Page)"/>
        <w:docPartUnique/>
      </w:docPartObj>
    </w:sdtPr>
    <w:sdtEndPr/>
    <w:sdtContent>
      <w:p w:rsidR="00727AAC" w:rsidRDefault="00727AAC" w:rsidP="00727A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2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0629"/>
    <w:multiLevelType w:val="multilevel"/>
    <w:tmpl w:val="E6D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774B9"/>
    <w:multiLevelType w:val="multilevel"/>
    <w:tmpl w:val="638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A6"/>
    <w:rsid w:val="00034630"/>
    <w:rsid w:val="00040752"/>
    <w:rsid w:val="00056453"/>
    <w:rsid w:val="00061192"/>
    <w:rsid w:val="00091557"/>
    <w:rsid w:val="000C2795"/>
    <w:rsid w:val="000F0B07"/>
    <w:rsid w:val="00115995"/>
    <w:rsid w:val="00156A9E"/>
    <w:rsid w:val="00181A61"/>
    <w:rsid w:val="001E2983"/>
    <w:rsid w:val="001F1FF1"/>
    <w:rsid w:val="002807DC"/>
    <w:rsid w:val="00386DC6"/>
    <w:rsid w:val="00386E2F"/>
    <w:rsid w:val="00552698"/>
    <w:rsid w:val="006636ED"/>
    <w:rsid w:val="00663EB8"/>
    <w:rsid w:val="00675808"/>
    <w:rsid w:val="006A12E6"/>
    <w:rsid w:val="006D4C97"/>
    <w:rsid w:val="00727AAC"/>
    <w:rsid w:val="007C2A5C"/>
    <w:rsid w:val="0080000A"/>
    <w:rsid w:val="008F078A"/>
    <w:rsid w:val="00902C60"/>
    <w:rsid w:val="00950094"/>
    <w:rsid w:val="00975581"/>
    <w:rsid w:val="009E22B5"/>
    <w:rsid w:val="00A74CE5"/>
    <w:rsid w:val="00AE166E"/>
    <w:rsid w:val="00B05CA6"/>
    <w:rsid w:val="00B42611"/>
    <w:rsid w:val="00B81099"/>
    <w:rsid w:val="00B933F6"/>
    <w:rsid w:val="00B966B8"/>
    <w:rsid w:val="00BA2C52"/>
    <w:rsid w:val="00BA3710"/>
    <w:rsid w:val="00C14EE3"/>
    <w:rsid w:val="00C437C1"/>
    <w:rsid w:val="00CA314C"/>
    <w:rsid w:val="00D64566"/>
    <w:rsid w:val="00D676A2"/>
    <w:rsid w:val="00D75B39"/>
    <w:rsid w:val="00DC6A98"/>
    <w:rsid w:val="00E954EF"/>
    <w:rsid w:val="00E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AC"/>
  </w:style>
  <w:style w:type="paragraph" w:styleId="a5">
    <w:name w:val="footer"/>
    <w:basedOn w:val="a"/>
    <w:link w:val="a6"/>
    <w:uiPriority w:val="99"/>
    <w:unhideWhenUsed/>
    <w:rsid w:val="00727A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AC"/>
  </w:style>
  <w:style w:type="character" w:styleId="a7">
    <w:name w:val="Hyperlink"/>
    <w:basedOn w:val="a0"/>
    <w:uiPriority w:val="99"/>
    <w:unhideWhenUsed/>
    <w:rsid w:val="00AE1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AC"/>
  </w:style>
  <w:style w:type="paragraph" w:styleId="a5">
    <w:name w:val="footer"/>
    <w:basedOn w:val="a"/>
    <w:link w:val="a6"/>
    <w:uiPriority w:val="99"/>
    <w:unhideWhenUsed/>
    <w:rsid w:val="00727A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AC"/>
  </w:style>
  <w:style w:type="character" w:styleId="a7">
    <w:name w:val="Hyperlink"/>
    <w:basedOn w:val="a0"/>
    <w:uiPriority w:val="99"/>
    <w:unhideWhenUsed/>
    <w:rsid w:val="00AE1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1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29</cp:revision>
  <dcterms:created xsi:type="dcterms:W3CDTF">2014-10-21T15:06:00Z</dcterms:created>
  <dcterms:modified xsi:type="dcterms:W3CDTF">2014-10-23T09:44:00Z</dcterms:modified>
</cp:coreProperties>
</file>