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73" w:rsidRDefault="00A81B7B">
      <w:pPr>
        <w:keepNext/>
        <w:spacing w:after="0" w:line="240" w:lineRule="auto"/>
        <w:ind w:left="1276"/>
        <w:jc w:val="center"/>
        <w:rPr>
          <w:rFonts w:ascii="Times New Roman" w:eastAsia="Times New Roman" w:hAnsi="Times New Roman" w:cs="Aharoni"/>
          <w:b/>
          <w:bCs/>
          <w:caps/>
          <w:color w:val="3F8DA9"/>
          <w:sz w:val="36"/>
          <w:lang w:eastAsia="ru-RU"/>
        </w:rPr>
      </w:pPr>
      <w:r>
        <w:rPr>
          <w:noProof/>
          <w:color w:val="3F8DA9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-184150</wp:posOffset>
            </wp:positionV>
            <wp:extent cx="907415" cy="86360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772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Aharoni"/>
          <w:b/>
          <w:bCs/>
          <w:caps/>
          <w:color w:val="3F8DA9"/>
          <w:sz w:val="36"/>
          <w:lang w:eastAsia="ru-RU"/>
        </w:rPr>
        <w:t>НАЦИОНАЛЬНАЯ ПРЕМИЯ</w:t>
      </w:r>
    </w:p>
    <w:p w:rsidR="009F0E73" w:rsidRDefault="00A81B7B">
      <w:pPr>
        <w:keepNext/>
        <w:spacing w:after="0" w:line="240" w:lineRule="auto"/>
        <w:ind w:left="1276"/>
        <w:jc w:val="center"/>
        <w:rPr>
          <w:rFonts w:ascii="Times New Roman" w:eastAsia="Times New Roman" w:hAnsi="Times New Roman" w:cs="Aharoni"/>
          <w:b/>
          <w:color w:val="3F8DA9"/>
          <w:sz w:val="36"/>
          <w:lang w:eastAsia="ru-RU"/>
        </w:rPr>
      </w:pPr>
      <w:r>
        <w:rPr>
          <w:rFonts w:ascii="Times New Roman" w:eastAsia="Times New Roman" w:hAnsi="Times New Roman" w:cs="Aharoni"/>
          <w:b/>
          <w:bCs/>
          <w:caps/>
          <w:color w:val="3F8DA9"/>
          <w:sz w:val="36"/>
          <w:lang w:eastAsia="ru-RU"/>
        </w:rPr>
        <w:t>«ЛИДЕРЫ ОТВЕТСТВЕННОГО БИЗНЕСА»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40"/>
      </w:tblGrid>
      <w:tr w:rsidR="009F0E73">
        <w:tc>
          <w:tcPr>
            <w:tcW w:w="9910" w:type="dxa"/>
            <w:tcBorders>
              <w:top w:val="nil"/>
              <w:left w:val="nil"/>
              <w:bottom w:val="thinThickSmallGap" w:sz="24" w:space="0" w:color="3F8DA9"/>
              <w:right w:val="nil"/>
            </w:tcBorders>
          </w:tcPr>
          <w:p w:rsidR="009F0E73" w:rsidRDefault="009F0E73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20"/>
                <w:lang w:eastAsia="ru-RU"/>
              </w:rPr>
            </w:pPr>
          </w:p>
        </w:tc>
      </w:tr>
    </w:tbl>
    <w:p w:rsidR="009F0E73" w:rsidRDefault="009F0E7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70C0"/>
          <w:sz w:val="20"/>
          <w:szCs w:val="20"/>
          <w:lang w:eastAsia="ru-RU"/>
        </w:rPr>
      </w:pPr>
    </w:p>
    <w:p w:rsidR="009F0E73" w:rsidRDefault="009F0E7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3585AD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Утверждено </w:t>
      </w:r>
    </w:p>
    <w:p w:rsidR="009F0E73" w:rsidRDefault="00A81B7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Решением Оргкомитета Премии от </w:t>
      </w:r>
      <w:r w:rsidR="008D09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15.10.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2024 г.</w:t>
      </w:r>
    </w:p>
    <w:p w:rsidR="009F0E73" w:rsidRDefault="009F0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0E73" w:rsidRDefault="009F0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0E73" w:rsidRDefault="00A81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МЕТОДИКА ОЦЕНКИ ЗАЯВОК ДЛЯ УЧАСТИЯ В НАЦИОНАЛЬНОЙ ПРЕМИИ «ЛИДЕРЫ ОТВЕТСТВЕННОГО БИЗНЕСА»</w:t>
      </w:r>
    </w:p>
    <w:p w:rsidR="009F0E73" w:rsidRDefault="009F0E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заявок (далее – Методика) для участия компаний/организаций (далее – компании) в Национальной Премии «ЛИДЕРЫ ОТВЕТСТВЕННОГО БИЗНЕСА»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Премия)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Премии устанавливает  порядок оценки заявок на всех этапах Премии и определения лауреатов. 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определения и понятия для целей настоящей Методики указаны в приложении (Приложение 1). </w:t>
      </w: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Премии отбираются из числа компаний, заявившихся для участия в Премии, по результатам проверки соблюдения условий приёма заявок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предквалификации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ТРЕБОВАНИЯ К ОФОРМЛЕНИЮ ЗАЯВКИ</w:t>
      </w:r>
    </w:p>
    <w:p w:rsidR="009F0E73" w:rsidRDefault="009F0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Для участия в Премии компания подаёт на адрес электронной почты (</w:t>
      </w:r>
      <w:bookmarkStart w:id="0" w:name="_GoBack"/>
      <w:bookmarkEnd w:id="0"/>
      <w:r w:rsidR="00D77CB9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fldChar w:fldCharType="begin"/>
      </w:r>
      <w:r w:rsidR="00D77CB9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instrText xml:space="preserve"> HYPERLINK "mailto:RSPP</w:instrText>
      </w:r>
      <w:r w:rsidR="00D77CB9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instrText>@</w:instrText>
      </w:r>
      <w:r w:rsidR="00D77CB9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instrText>rspp</w:instrText>
      </w:r>
      <w:r w:rsidR="00D77CB9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instrText>.</w:instrText>
      </w:r>
      <w:r w:rsidR="00D77CB9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instrText xml:space="preserve">ru" </w:instrText>
      </w:r>
      <w:r w:rsidR="00D77CB9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fldChar w:fldCharType="separate"/>
      </w:r>
      <w:r w:rsidR="00D77CB9" w:rsidRPr="00534E6A">
        <w:rPr>
          <w:rStyle w:val="a6"/>
          <w:rFonts w:ascii="Times New Roman" w:eastAsia="Times New Roman" w:hAnsi="Times New Roman" w:cs="Times New Roman"/>
          <w:sz w:val="24"/>
          <w:szCs w:val="24"/>
          <w:lang w:val="en-US" w:eastAsia="ru-RU"/>
        </w:rPr>
        <w:t>RSPP</w:t>
      </w:r>
      <w:r w:rsidR="00D77CB9" w:rsidRPr="00534E6A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D77CB9" w:rsidRPr="00534E6A">
        <w:rPr>
          <w:rStyle w:val="a6"/>
          <w:rFonts w:ascii="Times New Roman" w:eastAsia="Times New Roman" w:hAnsi="Times New Roman" w:cs="Times New Roman"/>
          <w:sz w:val="24"/>
          <w:szCs w:val="24"/>
          <w:lang w:val="en-US" w:eastAsia="ru-RU"/>
        </w:rPr>
        <w:t>rspp</w:t>
      </w:r>
      <w:r w:rsidR="00D77CB9" w:rsidRPr="00534E6A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7CB9" w:rsidRPr="00534E6A">
        <w:rPr>
          <w:rStyle w:val="a6"/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D77CB9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заявку в электронном виде на русском языке, которая содержит Анкету и прилагаемый к ней пакет документов в соответствии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7–8 Положения о Премии.</w:t>
      </w:r>
    </w:p>
    <w:p w:rsidR="009F0E73" w:rsidRDefault="009F0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Анкету  следует включить:</w:t>
      </w: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 информацию о компании; </w:t>
      </w: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ссылку на адрес в сети Интернет, по которому в открытом доступе размещены нефинансовые отчёты; </w:t>
      </w: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тематические направления (номинации),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представляется программа, характеризующая вклад компании в решение соответствующих общественно значимых задач  (со ссылкой на страницу отчёта, в котором она представлена);</w:t>
      </w: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 информацию об участии компании в системе социального партнёрства, включая  участие компании в объединениях работодателей;</w:t>
      </w: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информацию об участии в других деловых объединениях бизнеса.</w:t>
      </w:r>
    </w:p>
    <w:p w:rsidR="009F0E73" w:rsidRDefault="00A81B7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Требования к составу и оформлению документов, прилагаемых к Анкете.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Анкете должны быть приложены документы: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электронная выписка из единого государственного реестра юридических лиц</w:t>
      </w:r>
      <w:r w:rsidRPr="0082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(ЕГРЮЛ)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выданная не позднее 3 рабочих дней до даты подачи документов заявителем на участие в Премии;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 свидетельство о регистрации юридического лица (скан); 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электронная справка об исполнении налогоплательщиком (плательщиком сбора, плательщиком страховых взносов, налоговым агентом) обязанности по уплате налогов,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сборов, страховых взносов, пеней, штрафов, процентов сроком давности не более 1 месяца до подачи компанией документов на участие в Премии (форма по КДИ 1120101)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 программ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ы) по выбранному тематическому направлению (номинации).</w:t>
      </w:r>
    </w:p>
    <w:p w:rsidR="009F0E73" w:rsidRDefault="009F0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 каждому тематическому направлению (номинации)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одной программы, реализуемой в течение последних 2 лет, включая год подачи заявки. Программа может включать несколько проектов, объединённых общей целью.</w:t>
      </w: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содержанию программ, заявляемых на участие в Премии, представлены в приложении (Приложение 2).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Формат представления информации по заявленной программе. </w:t>
      </w:r>
    </w:p>
    <w:p w:rsidR="009F0E73" w:rsidRDefault="00A81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программе должна включать:</w:t>
      </w: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название тематического направления (номинации)</w:t>
      </w:r>
      <w:r w:rsidRPr="008214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 которому представляется программа________________________________________________________</w:t>
      </w: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компании  (юридического лица, ИНН) _____________________</w:t>
      </w: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регионы Российской Федерации деятельности компании___________________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Название программы с указанием периода реализации (при включении в программу нескольких проектов, объединённых общей целью</w:t>
      </w:r>
      <w:r w:rsidRPr="008214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перечислить также названия проектов) _______________________________________________________________________________</w:t>
      </w:r>
    </w:p>
    <w:p w:rsidR="009F0E73" w:rsidRDefault="00A81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программу, раскрывающую сведения о ней. </w:t>
      </w:r>
    </w:p>
    <w:p w:rsidR="009F0E73" w:rsidRDefault="009F0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  Описание  программы должно отвечать критериям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 5.4 настоящей Методики,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включать информацию, которая содержит:</w:t>
      </w:r>
    </w:p>
    <w:p w:rsidR="009F0E73" w:rsidRDefault="009F0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 общественной значимости проблемы, на решение которой направлена программа;</w:t>
      </w:r>
    </w:p>
    <w:p w:rsidR="009F0E73" w:rsidRDefault="00A81B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программы;</w:t>
      </w:r>
    </w:p>
    <w:p w:rsidR="009F0E73" w:rsidRDefault="00A81B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группы заинтересованных сторон программы;</w:t>
      </w:r>
    </w:p>
    <w:p w:rsidR="009F0E73" w:rsidRDefault="00A81B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управления, ресурсы, механизмы реализации;</w:t>
      </w:r>
    </w:p>
    <w:p w:rsidR="009F0E73" w:rsidRDefault="00A81B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достигнутые результаты по завершённой программе либо поддающиеся оценке промежуточные результаты по завершённому этапу и ожидаемые конечные результаты программы (количественные и качественные показатели  результатов  программы, оценка достигнутого эффекта);</w:t>
      </w:r>
    </w:p>
    <w:p w:rsidR="009F0E73" w:rsidRDefault="00A81B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позитивные изменения во внешней среде как результат программы (параметры улучшения ситуации на территории реализации программы, устойчивость результатов и пр.); </w:t>
      </w:r>
    </w:p>
    <w:p w:rsidR="009F0E73" w:rsidRDefault="00A81B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вклада программы в продвижение к решению обозначенной  общественно значимой проблемы (описание и оценка вклада в решение задач конкретного национального проекта, федеральной программы, программы развития региона и т.д.);</w:t>
      </w:r>
    </w:p>
    <w:p w:rsidR="009F0E73" w:rsidRDefault="00A81B7B">
      <w:pPr>
        <w:numPr>
          <w:ilvl w:val="0"/>
          <w:numId w:val="2"/>
        </w:numPr>
        <w:spacing w:after="0" w:line="240" w:lineRule="auto"/>
        <w:ind w:hanging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подтверждающую достигнутые результаты (статистические данные, результаты исследований, опросов и т.д.);</w:t>
      </w:r>
    </w:p>
    <w:p w:rsidR="009F0E73" w:rsidRDefault="00A81B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свидетельство  общественного признания программы и её вклада в улучшение ситуации (результаты конкурсов, премий, независимая оценка и др.);</w:t>
      </w:r>
    </w:p>
    <w:p w:rsidR="009F0E73" w:rsidRDefault="00A81B7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том, когда и кем утверждены указанные в описании документы, электронные адреса их размещения (либо скан титульного листа с датой утверждения и подписью руководителя). </w:t>
      </w:r>
    </w:p>
    <w:p w:rsidR="009F0E73" w:rsidRDefault="009F0E73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усмотрению компании к программе могут быть приложены файлы с документами.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ПРЕДКВАЛИФИКАЦИЯ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РСПП как базовая организация – оператор Премии: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 и регистрирует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компаний на участие в Премии, поданные в течение объявленного срока приёма заявок; 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проводит проверку полноты представленных заявителями документов в соответствии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1.2–1.5 настоящей Методики;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уведомляет компании о принятии заявки или её отклонении с указанием причины несоответствия условиям приёма и требованиям к оформлению в течение 3 рабочих дней с момента получения заявки компании; 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утверждает список компаний – участников Премии</w:t>
      </w:r>
      <w:r w:rsidRPr="008214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направляет Экспертному совету информацию по итогам проверки, включая: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общий список компаний, направивших заявки на участие в Премии;</w:t>
      </w:r>
    </w:p>
    <w:p w:rsidR="009F0E73" w:rsidRDefault="00A81B7B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сведения об отклонённых заявках с указанием причины; 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сводную информацию о компаниях, включённых в состав участников Премии.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Заявки компаний на участие в Премии, которые не соответствуют условиям приёма и требованиям к оформлению, отклоняются.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Компании, подавшие заявки ранее даты завершения приёма заявок, могут отозвать заявку с целью устранения выявленных несоответствий требованиям Положения по Премии и настоящей Методики и направить новую уточнённую, но не позднее даты завершения приёма заявок.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Экспертный совет: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рассматривает информацию о поданных на участие в Премии заявках; 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организует процесс оценки заявок;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 оценку заявок.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ОЦЕНКА ЗАЯВОК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заявок и определение на этой основе лауреатов Премии проводится на конкурсной основе в три этапа</w:t>
      </w:r>
      <w:r w:rsidRPr="00821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E73" w:rsidRDefault="009F0E7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Комплексная оценка заявок с учётом факторов устойчивого развития, ответственного ведения бизнеса и определение участников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этапа.</w:t>
      </w:r>
    </w:p>
    <w:p w:rsidR="009F0E73" w:rsidRDefault="009F0E73">
      <w:pPr>
        <w:spacing w:after="0" w:line="240" w:lineRule="auto"/>
        <w:ind w:left="708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left="708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Оценка вклада компании в решение стратегических национальных задач на основе оценки программ по тематическим направлениям (номинациям)  и определение участников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– финалистов.</w:t>
      </w:r>
    </w:p>
    <w:p w:rsidR="009F0E73" w:rsidRDefault="009F0E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этап.  Оценка финалистов и определение лауреатов Премии.</w:t>
      </w:r>
    </w:p>
    <w:p w:rsidR="009F0E73" w:rsidRDefault="009F0E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Максимальное количество баллов, которое может набрать компания  по результатам всех этапов оценки</w:t>
      </w:r>
      <w:r w:rsidRPr="008214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145 баллов.</w:t>
      </w:r>
    </w:p>
    <w:p w:rsidR="009F0E73" w:rsidRDefault="009F0E7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F0E73" w:rsidRDefault="00A81B7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Заявок компаний в рамках каждого этапа осуществляется в соответствии со следующими критериями и баллами</w:t>
      </w:r>
      <w:r w:rsidRPr="00821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0E73" w:rsidRDefault="009F0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6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2693"/>
        <w:gridCol w:w="850"/>
        <w:gridCol w:w="2127"/>
        <w:gridCol w:w="850"/>
      </w:tblGrid>
      <w:tr w:rsidR="009F0E73">
        <w:trPr>
          <w:trHeight w:val="1882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ЭТАП</w:t>
            </w:r>
          </w:p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Комплексная оценка заявок                  с учётом факторов устойчивого развития, ответственного ведения бизнеса и определение участников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этапа </w:t>
            </w:r>
          </w:p>
          <w:p w:rsidR="009F0E73" w:rsidRDefault="009F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45 баллов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ЭТАП</w:t>
            </w:r>
          </w:p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Оценка вклада компании в решение стратегических национальных задач  на основе оценки программ по тематическим направлениям (номинациям)  и определение участников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финалистов</w:t>
            </w:r>
          </w:p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90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ЭТАП</w:t>
            </w:r>
          </w:p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 финалистов и определение лауреатов Премии</w:t>
            </w:r>
          </w:p>
          <w:p w:rsidR="009F0E73" w:rsidRDefault="00A81B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</w:p>
          <w:p w:rsidR="009F0E73" w:rsidRDefault="009F0E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F0E73" w:rsidRDefault="009F0E7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F0E73" w:rsidRDefault="00A81B7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145 баллов</w:t>
            </w:r>
          </w:p>
        </w:tc>
      </w:tr>
      <w:tr w:rsidR="009F0E73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баллы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баллы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баллы</w:t>
            </w:r>
          </w:p>
        </w:tc>
      </w:tr>
      <w:tr w:rsidR="009F0E73">
        <w:trPr>
          <w:trHeight w:val="28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 компании оценки, полученной в рамках комплексных российских индексов, рейтингов,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рэнкингов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устойчивого развития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ESG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), проведённой на основе анализа нефинансовой отчётности, выпущенной в год проведения Премии, и позиция в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Общественная значимость проблемы, на решение которой направлена программа, цели и задачи программы, соответствие национальным целям развития, задачам нацпроектов и ЦУР ООН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Сумма баллов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этапов оценки,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составляющая не менее ¾ от максимально возможной суммы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</w:tr>
      <w:tr w:rsidR="009F0E73">
        <w:trPr>
          <w:trHeight w:val="3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независимого подтверждения отчёта, выпущенного в год проведения Премии  / подачи заявки (общественное заверение и аудиторское подтверждение)</w:t>
            </w:r>
          </w:p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 документально  подтверждённых позиции, стратегии, политик в области устойчивого развития и/или отдельных </w:t>
            </w:r>
          </w:p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её направлений в соответствии с тематическим направлением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Соответствие группе 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ESG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-Индексе  РСПП «Вектор устойчивого развития»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F0E73">
        <w:trPr>
          <w:trHeight w:val="19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в нефинансовом отчёте компании, выпущенном в год проведения Премии, информации о представленной программе,  включая результаты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 управления программой по заявленному тематическому направлению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программ  в тройке с лучшими результатами по тематическим направлениям (номинациям)</w:t>
            </w:r>
          </w:p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этапа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F0E73">
        <w:trPr>
          <w:trHeight w:val="36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1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компании в системе социального партнёрства и иных деловых объединениях, связанных с продвижением интересов бизнеса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Результаты программы, сведения  о связанных с ними  позитивных изменениях, о соотношении с задачами по достижению национальных целей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9F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0E73">
        <w:trPr>
          <w:trHeight w:val="69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9F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Внешнее признание программы и общественная поддержка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0E73" w:rsidRDefault="009F0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9F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КОМПЛЕКСНАЯ ОЦЕНКА ЗАЯВОК С УЧЁТОМ ФАКТОРОВ УСТОЙЧИВОГО РАЗВИТИЯ, ОТВЕТСТВЕННОГО ВЕДЕНИЯ БИЗНЕСА И ОПРЕДЕЛЕНИЕ УЧАСТНИКОВ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 первом этапе Экспертный совет проводит оценку заявок и отбор компаний по результатам комплексной оценки с учётом факторов устойчивого развития и ответственного ведения бизнеса для участия во втором этапе оценки. 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учитываются: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</w:t>
      </w:r>
      <w:r w:rsidRPr="00821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у компании оценки, полученной в рамках комплексных российских индексов, рейтингов,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рэнкингов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устойчивого развития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проведённой на основе анализа нефинансовой отчётности, выпущенной в год проведения Премии, и позиция в них.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Подход к оценке</w:t>
      </w:r>
    </w:p>
    <w:p w:rsidR="009F0E73" w:rsidRPr="00FB7CC8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Учитывается вхождение компании в год проведения Премии в Индекс РСПП по </w:t>
      </w:r>
      <w:proofErr w:type="gramStart"/>
      <w:r w:rsidRPr="00FB7C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устойчивому</w:t>
      </w:r>
      <w:proofErr w:type="gramEnd"/>
      <w:r w:rsidRPr="00FB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(</w:t>
      </w:r>
      <w:r w:rsidRPr="00FB7C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ESG</w:t>
      </w:r>
      <w:r w:rsidRPr="00FB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-индекс) «Ответственность и Открытость», рассчитанный на основе анализа и оценки публичной отчётности (годовой отчёт, отчёт по устойчивому развитию).  </w:t>
      </w:r>
    </w:p>
    <w:p w:rsidR="009F0E73" w:rsidRPr="00FB7CC8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отчёты компании не оценивались в рамках Индекса РСПП по устойчивому развитию «Ответственность и Открытость», но они входят в две высшие лидирующие группы комплексных российских </w:t>
      </w:r>
      <w:r w:rsidRPr="00FB7C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ESG</w:t>
      </w:r>
      <w:r w:rsidRPr="00FB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-индексов, рейтингов, </w:t>
      </w:r>
      <w:proofErr w:type="spellStart"/>
      <w:r w:rsidRPr="00FB7CC8">
        <w:rPr>
          <w:rFonts w:ascii="Times New Roman" w:eastAsia="Times New Roman" w:hAnsi="Times New Roman" w:cs="Times New Roman"/>
          <w:sz w:val="24"/>
          <w:szCs w:val="24"/>
          <w:lang w:eastAsia="ru-RU"/>
        </w:rPr>
        <w:t>рэнкингов</w:t>
      </w:r>
      <w:proofErr w:type="spellEnd"/>
      <w:r w:rsidRPr="00FB7CC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FB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отсутствии разделения на группы – в первые 20% списка компаний в соответствующих инструментах оценки), то это также учитывается, но при условии, что дополнительно проведённая оценка их публичной отчётности по критериям Индекса РСПП</w:t>
      </w:r>
      <w:proofErr w:type="gramEnd"/>
      <w:r w:rsidRPr="00FB7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соответствовать пороговым значениям вхождения в </w:t>
      </w:r>
      <w:r w:rsidRPr="00FB7C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ESG</w:t>
      </w:r>
      <w:r w:rsidRPr="00FB7CC8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-индекс «Ответственность и Открытость»;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Подход к оценке (баллы не суммируются):</w:t>
      </w: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458"/>
        <w:gridCol w:w="3810"/>
        <w:gridCol w:w="2126"/>
      </w:tblGrid>
      <w:tr w:rsidR="009F0E73">
        <w:trPr>
          <w:trHeight w:val="2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Соответствие группе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ESG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-индексе  «Ответственность и Открытость»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</w:t>
            </w:r>
          </w:p>
        </w:tc>
      </w:tr>
      <w:tr w:rsidR="009F0E73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9F0E73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9F0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В+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9F0E73">
        <w:trPr>
          <w:trHeight w:val="23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F0E73">
        <w:trPr>
          <w:trHeight w:val="2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5</w:t>
            </w:r>
          </w:p>
        </w:tc>
      </w:tr>
      <w:tr w:rsidR="009F0E73">
        <w:trPr>
          <w:trHeight w:val="2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  соответствия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0</w:t>
            </w:r>
          </w:p>
        </w:tc>
      </w:tr>
    </w:tbl>
    <w:p w:rsidR="009F0E73" w:rsidRDefault="009F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наличие независимого подтверждения отчёта, выпущенного в год подачи заявки (общественное заверение и аудиторское подтверждение)</w:t>
      </w:r>
      <w:r w:rsidRPr="008214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0E73" w:rsidRDefault="009F0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Подход к 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(баллы суммируются):</w:t>
      </w:r>
    </w:p>
    <w:tbl>
      <w:tblPr>
        <w:tblW w:w="7840" w:type="dxa"/>
        <w:tblInd w:w="93" w:type="dxa"/>
        <w:tblLook w:val="04A0" w:firstRow="1" w:lastRow="0" w:firstColumn="1" w:lastColumn="0" w:noHBand="0" w:noVBand="1"/>
      </w:tblPr>
      <w:tblGrid>
        <w:gridCol w:w="417"/>
        <w:gridCol w:w="6289"/>
        <w:gridCol w:w="1134"/>
      </w:tblGrid>
      <w:tr w:rsidR="009F0E73">
        <w:trPr>
          <w:trHeight w:val="29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9F0E73">
        <w:trPr>
          <w:trHeight w:val="33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аудиторского подтверждения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F0E73">
        <w:trPr>
          <w:trHeight w:val="31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общественного заверения (подтверждения)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F0E73">
        <w:trPr>
          <w:trHeight w:val="31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Отсутствие независимого подтверждения (заверения)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9F0E73" w:rsidRDefault="009F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наличие в нефинансовом отчёте компании, выпущенном в год проведения Премии, информации о представленной программе/программах</w:t>
      </w:r>
      <w:r w:rsidRPr="008214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Подход к оценке (баллы не суммируются):</w:t>
      </w: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417"/>
        <w:gridCol w:w="6261"/>
        <w:gridCol w:w="1134"/>
      </w:tblGrid>
      <w:tr w:rsidR="009F0E73">
        <w:trPr>
          <w:trHeight w:val="29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9F0E73">
        <w:trPr>
          <w:trHeight w:val="4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информации о программе, включая её результаты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F0E73">
        <w:trPr>
          <w:trHeight w:val="20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Отсутствие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4.1.4. Участие компании в системе социального партнёрства и иных деловых объединениях, связанных с продвижением интересов бизнеса.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Подход к оценке: (баллы суммируются)</w:t>
      </w: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417"/>
        <w:gridCol w:w="6289"/>
        <w:gridCol w:w="1106"/>
      </w:tblGrid>
      <w:tr w:rsidR="009F0E73">
        <w:trPr>
          <w:trHeight w:val="29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9F0E73">
        <w:trPr>
          <w:trHeight w:val="40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Компания является членом  объединения работодателей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F0E73">
        <w:trPr>
          <w:trHeight w:val="40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Наличие коллективного договора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F0E73">
        <w:trPr>
          <w:trHeight w:val="40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Компания является членом  других деловых объединений</w:t>
            </w:r>
            <w:r w:rsidRPr="0082142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связанных с продвижением интересов бизнеса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9F0E73" w:rsidRDefault="009F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Результаты оценки первого этапа учитываются при определении участников второго этапа оценки и лауреатов Премии. 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оценки первого этапа Экспертный совет с учётом набранного количества баллов формирует список компаний – для участия во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оценки.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Компании, набравшие не менее 25 баллов по итогам первого этапа оценки, проходят на второй этап оценки.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ОЦЕНКА ВКЛАДА КОМПАНИИ В РЕШЕНИЕ СТРАТЕГИЧЕСКИХ НАЦИОНАЛЬНЫХ ЗАДАЧ НА ОСНОВЕ ОЦЕНКИ ПРОГРАММ ПО ТЕМАТИЧЕСКИМ НАПРАВЛЕНИЯМ (НОМИНАЦИЯМ) И ОПРЕДЕЛЕНИЕ УЧАСТНИКОВ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ФИНАЛИСТОВ</w:t>
      </w:r>
    </w:p>
    <w:p w:rsidR="009F0E73" w:rsidRDefault="009F0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Экспертный совет Премии проводит оценку вклада компании в решение стратегических национальных задач на основе анализа и оценки заявленных программ по тематическим направлениям (номинациям)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согласно Положению о Премии</w:t>
      </w:r>
      <w:r w:rsidRPr="00821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E73" w:rsidRDefault="009F0E7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 При оценке вклада рассматриваются добровольные инициативы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0E73" w:rsidRDefault="00A81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законодательно установленных норм и требований. </w:t>
      </w:r>
    </w:p>
    <w:p w:rsidR="009F0E73" w:rsidRDefault="009F0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 Ключевые критерии экспертной оценки вклада компании в решение стратегических национальных задач:</w:t>
      </w: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5.3.1</w:t>
      </w:r>
      <w:r w:rsidRPr="00821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общественная значимость проблемы, на решение которой направлена  программа, цели и задачи программы, соответствие национальным целям, задачам нацпроектов и ЦУР ООН; </w:t>
      </w: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5.3.2</w:t>
      </w:r>
      <w:r w:rsidRPr="00821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оформленной, документально подтверждённой позиции, стратегии, политики компании в области устойчивого развития и/или отдельных её ключевых направлений в соответствии с заявленным тематическим направлением Премии (номинацией);</w:t>
      </w: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5.3.3</w:t>
      </w:r>
      <w:r w:rsidRPr="00821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управления программой по  заявленному тематическому направлению (номинации)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Премии; </w:t>
      </w: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5.3.4</w:t>
      </w:r>
      <w:r w:rsidRPr="008214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езультаты программы, сведения  о связанных с ними  позитивных изменениях, о соотношении с задачами по достижению национальных целей развития;</w:t>
      </w: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5.3.5.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нешнее признание программы и общественная поддержка.</w:t>
      </w:r>
    </w:p>
    <w:p w:rsidR="009F0E73" w:rsidRDefault="009F0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Критерии и экспертная оценка программ участников второго этапа (Табл.):</w:t>
      </w:r>
    </w:p>
    <w:p w:rsidR="009F0E73" w:rsidRDefault="009F0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9F0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9F0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9F0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9F0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500"/>
        <w:gridCol w:w="7840"/>
        <w:gridCol w:w="1960"/>
      </w:tblGrid>
      <w:tr w:rsidR="009F0E73">
        <w:trPr>
          <w:trHeight w:val="53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Ключевые критерии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Экспертная оценка (баллы)</w:t>
            </w:r>
          </w:p>
        </w:tc>
      </w:tr>
      <w:tr w:rsidR="009F0E73">
        <w:trPr>
          <w:trHeight w:val="81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 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Общественная значимость проблемы, на решение которой направлена  программа, цели и задачи программы, соответствие национальным целям развития, задачам нацпроектов и ЦУР ООН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Мах – 10</w:t>
            </w:r>
          </w:p>
        </w:tc>
      </w:tr>
      <w:tr w:rsidR="009F0E73">
        <w:trPr>
          <w:trHeight w:val="63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E73" w:rsidRDefault="00A81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качестве подтверждения учитывается информация, обосновывающая  соответствие целей и задач программы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0E73">
        <w:trPr>
          <w:trHeight w:val="31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E73" w:rsidRDefault="00A81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Общественная значимость проблемы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E73">
        <w:trPr>
          <w:trHeight w:val="31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E73" w:rsidRDefault="00A81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Цели и задачи программы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0E73">
        <w:trPr>
          <w:trHeight w:val="31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E73" w:rsidRDefault="00A81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Целевые группы заинтересованных сторон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E73">
        <w:trPr>
          <w:trHeight w:val="31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E73" w:rsidRDefault="009F0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Соответствие национальным целям развития и задачам нацпроектов и/или федеральных программ (</w:t>
            </w:r>
            <w:r>
              <w:rPr>
                <w:rFonts w:ascii="Times New Roman" w:hAnsi="Times New Roman" w:cs="Times New Roman"/>
              </w:rPr>
              <w:t>указать,  каким,  привести показатели позитивных изменений в динамике и др.)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0E73">
        <w:trPr>
          <w:trHeight w:val="31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E73" w:rsidRDefault="00A81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Соответствие ЦУР ООН (каким)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0E73">
        <w:trPr>
          <w:trHeight w:val="85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E73" w:rsidRDefault="00A81B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1.6.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целям региональных программ развития и/или приоритетам в развитии территории/региона по результатам исследований мнения населения и др. (каким)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0E73">
        <w:trPr>
          <w:trHeight w:val="102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Наличие оформленной, документально подтверждённой позиции, стратегии, политики компании/организации в области устойчивого развития и/или отдельных её ключевых направлений в соответствии с заявленным тематическим направлением Премии (номинацией)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этапа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9F0E73">
        <w:trPr>
          <w:trHeight w:val="620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качестве подтверждения учитывается информация о наличии корпоративных документов в области устойчивого развития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0E73">
        <w:trPr>
          <w:trHeight w:val="187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Стратегия/политика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развитию / ESG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0E73">
        <w:trPr>
          <w:trHeight w:val="74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 Политики в соответствии с тематическим направлением (социальная/социальные инвестиции, по работе с персоналом и охране труда, экологическая, климатическая и пр.)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F0E73">
        <w:trPr>
          <w:trHeight w:val="60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Другие документы: политики по взаимодействию с заинтересованными сторонами, по правам человека, по противодействию коррупции, кодекс этики, корпоративные стандарты, коллективный договор и др.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F0E73">
        <w:trPr>
          <w:trHeight w:val="467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Система управления программой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  заявленному тематическому направлению (номинации)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Мах – 25</w:t>
            </w:r>
          </w:p>
        </w:tc>
      </w:tr>
      <w:tr w:rsidR="009F0E73">
        <w:trPr>
          <w:trHeight w:val="620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качестве подтверждения учитывается полнота информации по организации деятельности в реализации программы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0E73">
        <w:trPr>
          <w:trHeight w:val="221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Управляющая структура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0E73">
        <w:trPr>
          <w:trHeight w:val="31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Меры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механизмы реализации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F0E73">
        <w:trPr>
          <w:trHeight w:val="4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Целевые аудитории, сотрудничество и партнёрство с заинтересованными сторонами, технологии</w:t>
            </w:r>
            <w:r w:rsidRPr="00821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взаимодействие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F0E73" w:rsidRDefault="009F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F0E73">
        <w:trPr>
          <w:trHeight w:val="349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ru-RU"/>
              </w:rPr>
              <w:t></w:t>
            </w:r>
            <w:r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ru-RU"/>
              </w:rPr>
              <w:t></w:t>
            </w:r>
            <w:r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ru-RU"/>
              </w:rPr>
              <w:t></w:t>
            </w:r>
            <w:r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ru-RU"/>
              </w:rPr>
              <w:t></w:t>
            </w:r>
            <w:r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Общий объём финансирования деятельности по соответствующему тематическому направлению (номинации),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динамике</w:t>
            </w:r>
          </w:p>
        </w:tc>
        <w:tc>
          <w:tcPr>
            <w:tcW w:w="19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F0E73">
        <w:trPr>
          <w:trHeight w:val="20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3.5. Расходы на представленную программу, всего,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динамике </w:t>
            </w:r>
          </w:p>
        </w:tc>
        <w:tc>
          <w:tcPr>
            <w:tcW w:w="19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F0E73">
        <w:trPr>
          <w:trHeight w:val="196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0E73" w:rsidRDefault="00A81B7B">
            <w:pPr>
              <w:tabs>
                <w:tab w:val="left" w:pos="405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  Мониторинг и оценка 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F0E73" w:rsidRDefault="009F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E73">
        <w:trPr>
          <w:trHeight w:val="31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E73" w:rsidRDefault="00A81B7B" w:rsidP="00821425">
            <w:pPr>
              <w:tabs>
                <w:tab w:val="left" w:pos="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3.6.1</w:t>
            </w:r>
            <w:r w:rsidRPr="00821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 корпоративной методики  оценки результативности/эффективности (наличие,  периодичность оценки, критерии)</w:t>
            </w:r>
          </w:p>
        </w:tc>
        <w:tc>
          <w:tcPr>
            <w:tcW w:w="19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0E73">
        <w:trPr>
          <w:trHeight w:val="35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3.6.2</w:t>
            </w:r>
            <w:r w:rsidRPr="00821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 результатов программ с привлечением внешней экспертизы </w:t>
            </w:r>
          </w:p>
        </w:tc>
        <w:tc>
          <w:tcPr>
            <w:tcW w:w="19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E73">
        <w:trPr>
          <w:trHeight w:val="31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3.6.3</w:t>
            </w:r>
            <w:r w:rsidRPr="00821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мониторинга хода реализации программ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0E73">
        <w:trPr>
          <w:trHeight w:val="802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программы, сведения  о связанных с ними  позитивных изменениях, о соотношении с задачами по достижению национальных целей развития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</w:tr>
      <w:tr w:rsidR="009F0E73">
        <w:trPr>
          <w:trHeight w:val="310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качестве подтверждения учитывается наличие информации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0E73">
        <w:trPr>
          <w:trHeight w:val="31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Прямые результаты программы: </w:t>
            </w:r>
          </w:p>
          <w:p w:rsidR="009F0E73" w:rsidRDefault="00A81B7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количественные, качественные показатели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9F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–5</w:t>
            </w:r>
          </w:p>
        </w:tc>
      </w:tr>
      <w:tr w:rsidR="009F0E73">
        <w:trPr>
          <w:trHeight w:val="31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E73" w:rsidRDefault="00A81B7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поставленным целям/задачам программы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0E73">
        <w:trPr>
          <w:trHeight w:val="31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E73" w:rsidRDefault="00A81B7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охват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острота проблемы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0E73">
        <w:trPr>
          <w:trHeight w:val="27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Новизна (оригинальность) технологий в реализации поставленных задач и/или достигнутых результатов (решения задачи), включая новизну для конкретной территории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–3</w:t>
            </w:r>
          </w:p>
        </w:tc>
      </w:tr>
      <w:tr w:rsidR="009F0E73">
        <w:trPr>
          <w:trHeight w:val="31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4.3. Позитивные изменения под влиянием результатов программы в сфере, которой она посвящена в конкретной территории (косвенные 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появление новых услуг, доступность услуг, повышение качества, снижение неблагополучия и др.)</w:t>
            </w:r>
            <w:r w:rsidRPr="00821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также в реализации региональных программ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9F0E73">
        <w:trPr>
          <w:trHeight w:val="31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 Соотношение (вклад) результатов программы в решение проблем стратегического характера: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9F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0E73">
        <w:trPr>
          <w:trHeight w:val="31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–   национальные цели, задачи нацпроектов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0E73">
        <w:trPr>
          <w:trHeight w:val="31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–   ЦУР ООН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0–2</w:t>
            </w:r>
          </w:p>
        </w:tc>
      </w:tr>
      <w:tr w:rsidR="009F0E73">
        <w:trPr>
          <w:trHeight w:val="31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 Взаимодействие с заинтересованными сторонами:</w:t>
            </w:r>
          </w:p>
          <w:p w:rsidR="009F0E73" w:rsidRDefault="00A81B7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партнёров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9F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0–3</w:t>
            </w:r>
          </w:p>
        </w:tc>
      </w:tr>
      <w:tr w:rsidR="009F0E73">
        <w:trPr>
          <w:trHeight w:val="31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E73" w:rsidRDefault="00A81B7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 партнёров в достижение результатов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распределение полномочий, обучение, экспертиза и др.)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0–3</w:t>
            </w:r>
          </w:p>
        </w:tc>
      </w:tr>
      <w:tr w:rsidR="009F0E73">
        <w:trPr>
          <w:trHeight w:val="64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0E73" w:rsidRDefault="00A81B7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мнение, отзывы  партнёров, участников программы и др.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9F0E73">
        <w:trPr>
          <w:trHeight w:val="47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Внешнее признание программы и общественная поддержка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15</w:t>
            </w:r>
          </w:p>
        </w:tc>
      </w:tr>
      <w:tr w:rsidR="009F0E73">
        <w:trPr>
          <w:trHeight w:val="620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качестве подтверждения могут учитываться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свидетельства общественного признания компании по заявленной программе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0E73">
        <w:trPr>
          <w:trHeight w:val="31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Победители конкурсов и Премий: 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0E73">
        <w:trPr>
          <w:trHeight w:val="258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E73" w:rsidRDefault="00A81B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</w:t>
            </w:r>
          </w:p>
        </w:tc>
      </w:tr>
      <w:tr w:rsidR="009F0E73">
        <w:trPr>
          <w:trHeight w:val="406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E73" w:rsidRDefault="00A81B7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«Партнёр национальных проектов» (победитель Премии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 ВКЛАД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</w:t>
            </w:r>
          </w:p>
        </w:tc>
      </w:tr>
      <w:tr w:rsidR="009F0E73">
        <w:trPr>
          <w:trHeight w:val="199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E73" w:rsidRDefault="00A81B7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0–3</w:t>
            </w:r>
          </w:p>
        </w:tc>
      </w:tr>
      <w:tr w:rsidR="009F0E73">
        <w:trPr>
          <w:trHeight w:val="31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0E73" w:rsidRDefault="009F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Результаты опроса общественного мнения, подтверждения (дипломы, свидетельства, благодарности) объединений бизнеса, органов государственной власти и общественных организаций и др.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0–2</w:t>
            </w:r>
          </w:p>
        </w:tc>
      </w:tr>
      <w:tr w:rsidR="009F0E73">
        <w:trPr>
          <w:trHeight w:val="72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9F0E73" w:rsidRDefault="009F0E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5.5. Лучшими результатами оценки программ на втором этапе признаются три высших результата по каждому тематическому направлению (номинации). Лучшим результатом не может быть признана оценка, составляющая менее ¾ от максимально возможной суммы баллов в каждом тематическом направлении (номинации).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5.6. Результаты оценки на втором этапе определяются отдельно по каждой программе. При наличии нескольких программ от одной компании их  баллы не суммируются, а учитывается наибольшая среди них сумма баллов. 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перехода на следующий этап учитывается результат оценки, составляющий  не менее ¾ от максимально возможной суммы баллов второго этапа.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5.7. На основании суммы результатов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этапа определяются участники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этапа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финалисты.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ОЦЕНКА ФИНАЛИСТОВ И ОПРЕДЕЛЕНИЕ ЛАУРЕАТОВ ПРЕМИИ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Участники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– финалисты определяются на основе суммы баллов по результатам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оценки (минимальная сумма баллов должна составлять не менее ¾ от максимально возможной суммы баллов). 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определения лауреатов Премии из числа финалистов учитываются следующие критерии: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сумма баллов по результатам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оценки заявок компаний;</w:t>
      </w: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Подход к оценке 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Количество набранных баллов по результатам  двух первых этапов оценки должно составлять не менее ¾ от максимально возможной суммы баллов по двум этапам (не менее 101 балла)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позиция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-индексе РСПП «Вектор устойчивого развития» (отражает динамику результативности в сфере устойчивого развития компаний, вошедших в год проведения Премии в индекс РСПП «Ответственность и Открытость»). Если компании не участвовали в индексах РСПП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развитию, дополнительно проводится анализ их публичной отчётности по критериям индекса «Вектор устойчивого развития»;</w:t>
      </w:r>
    </w:p>
    <w:p w:rsidR="009F0E73" w:rsidRDefault="009F0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Подход к оценке (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max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балл:7)</w:t>
      </w:r>
    </w:p>
    <w:tbl>
      <w:tblPr>
        <w:tblW w:w="6961" w:type="dxa"/>
        <w:tblInd w:w="93" w:type="dxa"/>
        <w:tblLook w:val="04A0" w:firstRow="1" w:lastRow="0" w:firstColumn="1" w:lastColumn="0" w:noHBand="0" w:noVBand="1"/>
      </w:tblPr>
      <w:tblGrid>
        <w:gridCol w:w="458"/>
        <w:gridCol w:w="4944"/>
        <w:gridCol w:w="1559"/>
      </w:tblGrid>
      <w:tr w:rsidR="009F0E73">
        <w:trPr>
          <w:trHeight w:val="29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Соответствие группе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ESG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-Индексе  РСПП «Вектор устойчивого развития»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</w:t>
            </w:r>
          </w:p>
        </w:tc>
      </w:tr>
      <w:tr w:rsidR="009F0E73">
        <w:trPr>
          <w:trHeight w:val="3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9F0E73">
        <w:trPr>
          <w:trHeight w:val="2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73" w:rsidRDefault="00A8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9F0E73" w:rsidRDefault="009F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6.2.3. лучшие результаты в оценке программ (вхождение в первую тройку) по тематическим направлениям (номинациям)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этапа.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Подход к оценке (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max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балл:3)</w:t>
      </w:r>
    </w:p>
    <w:tbl>
      <w:tblPr>
        <w:tblW w:w="6961" w:type="dxa"/>
        <w:tblInd w:w="93" w:type="dxa"/>
        <w:tblLook w:val="04A0" w:firstRow="1" w:lastRow="0" w:firstColumn="1" w:lastColumn="0" w:noHBand="0" w:noVBand="1"/>
      </w:tblPr>
      <w:tblGrid>
        <w:gridCol w:w="469"/>
        <w:gridCol w:w="4933"/>
        <w:gridCol w:w="1559"/>
      </w:tblGrid>
      <w:tr w:rsidR="009F0E73">
        <w:trPr>
          <w:trHeight w:val="2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программ с лучшими результатами оценки (вхождение в первую тройку)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</w:t>
            </w:r>
          </w:p>
        </w:tc>
      </w:tr>
      <w:tr w:rsidR="009F0E73">
        <w:trPr>
          <w:trHeight w:val="31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программ</w:t>
            </w:r>
          </w:p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программ</w:t>
            </w:r>
          </w:p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  <w:p w:rsidR="009F0E73" w:rsidRDefault="00A81B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  <w:p w:rsidR="009F0E73" w:rsidRDefault="00A81B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9F0E73">
        <w:trPr>
          <w:trHeight w:val="31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9F0E73">
            <w:pPr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9F0E73">
        <w:trPr>
          <w:trHeight w:val="31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9F0E73">
            <w:pPr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9F0E73">
        <w:trPr>
          <w:trHeight w:val="31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9F0E73">
            <w:pPr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программа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9F0E73">
        <w:trPr>
          <w:trHeight w:val="31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E73" w:rsidRDefault="00A8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Отсутствие программ с лучшими результатами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E73" w:rsidRDefault="00A81B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9F0E73" w:rsidRDefault="009F0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F0E73" w:rsidRDefault="009F0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6.3. Экспертный совет Премии на основании результатов оценки формирует для представления в Оргкомитет Премии предложения по:</w:t>
      </w: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составу лауреатов и обоснованию их распределения по категориям (степеням) с учётом совокупной суммы набранных баллов по всем этапам оценки; </w:t>
      </w:r>
    </w:p>
    <w:p w:rsidR="009F0E73" w:rsidRDefault="00A81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списку компаний с лучшими результатами оценки программ (вхождение в первую тройку) по тематическим направлениям (номинациям)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этапа Премии. </w:t>
      </w:r>
    </w:p>
    <w:p w:rsidR="009F0E73" w:rsidRDefault="009F0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 Организационный комитет Премии: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 утверждает итоги проведённой оценки;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определяет состав лауреатов Премии с распределением по категориям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(степеням)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перечень компаний с лучшими результатами оценки программ (вхождение в первую тройку) по тематическим направлениям (номинациям) второго этапа Премии; 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принимает решение о </w:t>
      </w:r>
      <w:r>
        <w:rPr>
          <w:rFonts w:ascii="Times New Roman" w:hAnsi="Times New Roman" w:cs="Times New Roman"/>
          <w:sz w:val="24"/>
          <w:szCs w:val="24"/>
        </w:rPr>
        <w:t>награждении лауреатов Премии и поощрении компаний за лучшие результаты по оценке программ;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способствует распространению информации о Премии и общественному признанию результатов.</w:t>
      </w: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A81B7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9F0E73" w:rsidRDefault="00A81B7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2"/>
        <w:gridCol w:w="3090"/>
        <w:gridCol w:w="6409"/>
      </w:tblGrid>
      <w:tr w:rsidR="009F0E73">
        <w:trPr>
          <w:trHeight w:val="542"/>
        </w:trPr>
        <w:tc>
          <w:tcPr>
            <w:tcW w:w="9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E73" w:rsidRDefault="00A81B7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ОПРЕДЕЛЕНИЯ И ПОНЯТИЯ</w:t>
            </w:r>
          </w:p>
          <w:p w:rsidR="009F0E73" w:rsidRDefault="009F0E7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0E73">
        <w:trPr>
          <w:trHeight w:val="1843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Премия</w:t>
            </w:r>
          </w:p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«ЛИДЕРЫ ОТВЕТСТВЕННОГО БИЗНЕСА»</w:t>
            </w:r>
          </w:p>
          <w:p w:rsidR="009F0E73" w:rsidRDefault="009F0E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Премия в области предпринимательской деятельности для крупных российских компаний, соблюдающих принципы ответственного ведения бизнеса и комплексно раскрывающих информацию об этом в публикуемой нефинансовой отчётности, учреждается на основании поручения Президента Российской Федерации В. В. Путина, данного по итогам прошедшего в марте 2023 г. съезда Российского союза промышленников и предпринимателей (РСПП)</w:t>
            </w:r>
          </w:p>
        </w:tc>
      </w:tr>
      <w:tr w:rsidR="009F0E73">
        <w:trPr>
          <w:trHeight w:val="1115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Компании крупного бизнеса               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(209-ФЗ, ПП РФ № 265 от 04.04.2016)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Компании с численностью сотрудников от 250 человек и доходами от 2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млрд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 за предшествующий год</w:t>
            </w:r>
          </w:p>
        </w:tc>
      </w:tr>
      <w:tr w:rsidR="009F0E73">
        <w:trPr>
          <w:trHeight w:val="71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Компания, подавшая Заявку на участие в Премии в соответствии с Положением о Премии (п. 7 Положения)</w:t>
            </w:r>
          </w:p>
        </w:tc>
      </w:tr>
      <w:tr w:rsidR="009F0E73">
        <w:trPr>
          <w:trHeight w:val="55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Премии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Компании  из числа заявителей, заявки которых  соответствуют условиям приёма и требованиям к оформлению, прошли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предквалификацию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согласно Положению  о Премии и настоящей Методике</w:t>
            </w:r>
          </w:p>
        </w:tc>
      </w:tr>
      <w:tr w:rsidR="009F0E73">
        <w:trPr>
          <w:trHeight w:val="55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Лучшие результаты оценки программ  по тематическим направлениям (номинациям) 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Лучшими результатами оценки программ компаний 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этапе признаются три высших результата по каждому тематическому направлению (номинации) в соответствии с п. 5.5 настоящей Методики</w:t>
            </w:r>
          </w:p>
        </w:tc>
      </w:tr>
      <w:tr w:rsidR="009F0E73">
        <w:trPr>
          <w:trHeight w:val="55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Финалисты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Компании, которые по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совокупной сумме набранных баллов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этапа оценки стали участниками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этапа Премии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(п. 6  настоящей Методики)</w:t>
            </w:r>
          </w:p>
        </w:tc>
      </w:tr>
      <w:tr w:rsidR="009F0E73">
        <w:trPr>
          <w:trHeight w:val="55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Лауреаты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Компании из числа финалистов с лучшими  результатами по итогам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этапа оценки</w:t>
            </w:r>
          </w:p>
        </w:tc>
      </w:tr>
      <w:tr w:rsidR="009F0E73">
        <w:trPr>
          <w:trHeight w:val="62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Нефинансовый отчёт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Совокупность сведений и показателей, комплексно отражающих стратегию, цели, подходы к управлению, результаты деятельности организаций по всем существенным вопросам социальной ответственности и устойчивого развития, включая экономические, социальные, экологические аспекты</w:t>
            </w:r>
          </w:p>
        </w:tc>
      </w:tr>
      <w:tr w:rsidR="009F0E73">
        <w:trPr>
          <w:trHeight w:val="131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Социальная ответственность                      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(стандарт ГОСТ 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ИСО 26000 «Руководство по социальной ответственности)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компании за воздействие её решений и деятельности на общество и окружающую среду</w:t>
            </w:r>
          </w:p>
        </w:tc>
      </w:tr>
      <w:tr w:rsidR="009F0E73">
        <w:trPr>
          <w:trHeight w:val="131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ответственного ведения бизнеса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3" w:rsidRDefault="00A81B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ответственного ведения бизнеса, отражённые в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Социальной хартии российского бизнеса (редакция 2021 г.),  Глобальном Договоре ООН, стандарте ГОСТ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ИСО 26000,  других документах в области устойчивого развития и социальной ответственности</w:t>
            </w:r>
          </w:p>
        </w:tc>
      </w:tr>
    </w:tbl>
    <w:p w:rsidR="009F0E73" w:rsidRDefault="009F0E73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:rsidR="009F0E73" w:rsidRDefault="009F0E73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:rsidR="009F0E73" w:rsidRDefault="009F0E7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0E73" w:rsidRDefault="00A81B7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9F0E73" w:rsidRDefault="009F0E73" w:rsidP="005E2B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4BC0" w:rsidRDefault="00614BC0" w:rsidP="005E2B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0E73" w:rsidRDefault="00A81B7B" w:rsidP="005E2B3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Ориентиры по содержанию программ, заявляемых на участие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в Премии  «ЛИДЕРЫ ОТВЕТСТВЕННОГО БИЗНЕСА»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Компании могут сами выбирать тематику и содержание программ с учётом Положения о Премии и Методики оценки заявок для участия в Премии. Следует обратить внимание на то, что представленные программы рассматриваются как пример вклада ответственной компании в решение общественно значимых задач. Приведённые ниже рекомендации по содержанию программ следует рассматривать в качестве ориентира для понимания круга вопросов, относящихся  к каждому тематическому направлению. Оставаясь в заданных тематических направлениях, компании могут дополнить круг вопросов, охватываемых заявленными  программами, конкретизировать с учётом  своих приоритетов и  сложившейся корпоративной практики. </w:t>
      </w:r>
    </w:p>
    <w:p w:rsidR="009F0E73" w:rsidRDefault="00A81B7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участие в Премии могут быть представлены значимые корпоративные программы, реализация которых вносит вклад в решение стратегических национальных задач. При выборе программ можно ориентироваться на проекты «зелёного» финансирования и адаптационные проекты (Постановление Правительства РФ от 21.09.2021 № 1587 (ред. от 11.03.2023); проекты технологического суверенитета и структурной адаптации экономики (Постановление Правительства РФ от 15 апреля 2023 г. № 603);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Климатическую доктрину РФ (Указ Президента РФ от 26.10.2023 № 812); на национальные цели развития Российской Федерации на период 2030 г. и на перспективу до 2036 г. (Указ Президента РФ от 07.05.2024 № 309), другие стратегические документы, национальные проекты, относящиеся к указанным тематическим направлениям. </w:t>
      </w:r>
    </w:p>
    <w:p w:rsidR="009F0E73" w:rsidRDefault="00A8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Выбирая содержание программ для включения в заявку на Премию, следует учитывать следующие тематические направления: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E73" w:rsidRDefault="00A81B7B">
      <w:pPr>
        <w:tabs>
          <w:tab w:val="left" w:pos="993"/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 За вклад в достижение национальных целей и задач, направленных на поддержку семьи, молодёжи и детей, улучшение демографической ситуации  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Программы, направленные на улучшение условий жизнедеятельности семей с детьми,  поддержку многодетных семей, сотрудников с семейными обязанностями, расширение возможностей для развития детей и молодёжи. В их числе: укрепление института семьи, профилактика социального неблагополучия, гармонизация сочетания семейных и профессиональных обязанностей, поддержка семей с детьми, молодёжи, детей, повышение качества и доступности  получения образования, медицинской помощи, культурного и духовно-нравственного развития, занятий спортом и др.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E73" w:rsidRDefault="00A81B7B">
      <w:pPr>
        <w:tabs>
          <w:tab w:val="left" w:pos="1843"/>
        </w:tabs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За вклад в достижение национальных целей и задач экологической  и климатической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Программы, направленные на сохранение и защиту окружающей среды, снижение негативного воздействия и улучшение экологической ситуации,  адаптацию к изменениям климата, снижение вредного на него воздействия. В их числе: повышение экологического благополучия, бережное отношение к природе, сохранение биоразнообразия, поддержка устойчивости экосистем, снижение углеродного следа, загрязнения окружающей среды и др.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BC0" w:rsidRDefault="0061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B32" w:rsidRDefault="005E2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E73" w:rsidRDefault="00A81B7B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– За вклад в достижение национальных целей и задач обеспечения технологического лидерства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Программы, направленные на поддержку развития ИТ-сферы и искусственного интеллекта, цифровой трансформации, науки и наукоёмких технологий, технопарков, новых материалов и инновационных продуктов, поддержку современных обучающих программ и подготовку необходимых для технологического прорыва кадров, в том числе в связке «вуз/колледж – отрасли – научные результат</w:t>
      </w:r>
      <w:r w:rsidR="00821425">
        <w:rPr>
          <w:rFonts w:ascii="Times New Roman" w:hAnsi="Times New Roman" w:cs="Times New Roman"/>
          <w:sz w:val="24"/>
          <w:szCs w:val="24"/>
        </w:rPr>
        <w:t>ы</w:t>
      </w:r>
      <w:r>
        <w:t>»</w:t>
      </w:r>
      <w:r>
        <w:rPr>
          <w:rFonts w:ascii="Times New Roman" w:hAnsi="Times New Roman" w:cs="Times New Roman"/>
          <w:sz w:val="24"/>
          <w:szCs w:val="24"/>
        </w:rPr>
        <w:t>, и др.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E73" w:rsidRDefault="00A81B7B">
      <w:pPr>
        <w:tabs>
          <w:tab w:val="left" w:pos="1843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 За вклад в устойчивое развитие территорий, создание благоприятной среды для жизни населения в регионах присутствия компании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Программы, направленные на устойчивое развитие территорий, повышение их инвестиционной привлекательности, поддержку развития инфраструктуры, создание безопасной и комфортной среды для жизни граждан, благоустройство территорий, повышение качества и доступности социальных услуг, поддержку коренных малочисленных народов, содействие развитию малого бизнеса и социального предпринимательства, создание условий для развития туризма, культурного досуга и др.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E73" w:rsidRDefault="00A81B7B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  За вклад в достижение национальных целей и задач, направленных на развитие человеческого потенциала 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Программы, направленные на развитие способностей, знаний, компетенций сотрудников, сохранение их здоровья, улучшение условий жизнедеятельности. В их числе: создание условий для получения качественного образования и обучения работников, профессионального и карьерного роста и самореализации, формирование достойного кадрового резерва, создание инклюзивной среды, сохранение здоровья на рабочем месте, формирование здорового образа жизни, содействие работникам в решении социальных проблем.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За вклад в развитие ответственного инвестирования и финансирование  проектов в сфере устойчивого развития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Программы, направленные на развитие финансовых инструментов в сфере ответственного инвестирования, осуществление инвестиций в «зелёные» и социальные проекты, верифицируемые по соответствующим критериям, финансирование отечественных наукоёмких решений и развитие науки, повышение финансовой грамотности и финансовой культуры и др.</w:t>
      </w:r>
    </w:p>
    <w:p w:rsidR="009F0E73" w:rsidRDefault="009F0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E73" w:rsidRDefault="009F0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E73" w:rsidRDefault="00A8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Подаваемые для участия в Премии программы могут состоять из нескольких проектов, объединённых общей целью (см. Методику оценки заявок).</w:t>
      </w:r>
    </w:p>
    <w:p w:rsidR="009F0E73" w:rsidRDefault="009F0E7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9F0E73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5CFA3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15B" w:rsidRDefault="00CB315B">
      <w:pPr>
        <w:spacing w:line="240" w:lineRule="auto"/>
      </w:pPr>
      <w:r>
        <w:separator/>
      </w:r>
    </w:p>
  </w:endnote>
  <w:endnote w:type="continuationSeparator" w:id="0">
    <w:p w:rsidR="00CB315B" w:rsidRDefault="00CB3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15B" w:rsidRDefault="00CB315B">
      <w:pPr>
        <w:spacing w:after="0"/>
      </w:pPr>
      <w:r>
        <w:separator/>
      </w:r>
    </w:p>
  </w:footnote>
  <w:footnote w:type="continuationSeparator" w:id="0">
    <w:p w:rsidR="00CB315B" w:rsidRDefault="00CB315B">
      <w:pPr>
        <w:spacing w:after="0"/>
      </w:pPr>
      <w:r>
        <w:continuationSeparator/>
      </w:r>
    </w:p>
  </w:footnote>
  <w:footnote w:id="1">
    <w:p w:rsidR="009F0E73" w:rsidRDefault="00A81B7B">
      <w:pPr>
        <w:spacing w:after="0" w:line="240" w:lineRule="auto"/>
        <w:jc w:val="both"/>
        <w:rPr>
          <w:rFonts w:ascii="Times New Roman" w:hAnsi="Times New Roman"/>
        </w:rPr>
      </w:pPr>
      <w:r>
        <w:rPr>
          <w:rStyle w:val="a4"/>
        </w:rPr>
        <w:footnoteRef/>
      </w:r>
      <w: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В случае наличия не урегулированной ситуации по задолженностям представляется справка об отсутствии у участника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25% балансовой стоимости активов участника, по данным бухгалтерской отчётности за последний отчётный период. </w:t>
      </w:r>
      <w:proofErr w:type="gramEnd"/>
    </w:p>
  </w:footnote>
  <w:footnote w:id="2">
    <w:p w:rsidR="009F0E73" w:rsidRDefault="00A81B7B">
      <w:pPr>
        <w:pStyle w:val="ad"/>
        <w:rPr>
          <w:rFonts w:ascii="Times New Roman" w:hAnsi="Times New Roman"/>
        </w:rPr>
      </w:pPr>
      <w:r>
        <w:rPr>
          <w:rStyle w:val="a4"/>
        </w:rPr>
        <w:footnoteRef/>
      </w:r>
      <w:r>
        <w:t xml:space="preserve">   </w:t>
      </w:r>
      <w:r>
        <w:rPr>
          <w:rFonts w:ascii="Times New Roman" w:hAnsi="Times New Roman"/>
        </w:rPr>
        <w:t xml:space="preserve">Учитываются </w:t>
      </w:r>
      <w:r>
        <w:rPr>
          <w:rFonts w:ascii="Times New Roman" w:hAnsi="Times New Roman"/>
          <w:lang w:val="en-US"/>
        </w:rPr>
        <w:t>ESG</w:t>
      </w:r>
      <w:r>
        <w:rPr>
          <w:rFonts w:ascii="Times New Roman" w:hAnsi="Times New Roman"/>
        </w:rPr>
        <w:t xml:space="preserve">-индексы, рейтинги, </w:t>
      </w:r>
      <w:proofErr w:type="spellStart"/>
      <w:r>
        <w:rPr>
          <w:rFonts w:ascii="Times New Roman" w:hAnsi="Times New Roman"/>
        </w:rPr>
        <w:t>рэнкинги</w:t>
      </w:r>
      <w:proofErr w:type="spellEnd"/>
      <w:r>
        <w:rPr>
          <w:rFonts w:ascii="Times New Roman" w:hAnsi="Times New Roman"/>
        </w:rPr>
        <w:t xml:space="preserve">: АКРА, НКР, НРА, </w:t>
      </w:r>
      <w:proofErr w:type="gramStart"/>
      <w:r>
        <w:rPr>
          <w:rFonts w:ascii="Times New Roman" w:hAnsi="Times New Roman"/>
          <w:lang w:val="en-US"/>
        </w:rPr>
        <w:t>R</w:t>
      </w:r>
      <w:proofErr w:type="gramEnd"/>
      <w:r>
        <w:rPr>
          <w:rFonts w:ascii="Times New Roman" w:hAnsi="Times New Roman"/>
        </w:rPr>
        <w:t>АЕХ, «Эксперт РА», ЭКГ.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60C8"/>
    <w:multiLevelType w:val="multilevel"/>
    <w:tmpl w:val="008360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D5F0C"/>
    <w:multiLevelType w:val="multilevel"/>
    <w:tmpl w:val="369D5F0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6B86D3C"/>
    <w:multiLevelType w:val="multilevel"/>
    <w:tmpl w:val="36B86D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003CD"/>
    <w:multiLevelType w:val="multilevel"/>
    <w:tmpl w:val="792003CD"/>
    <w:lvl w:ilvl="0">
      <w:start w:val="1"/>
      <w:numFmt w:val="decimal"/>
      <w:pStyle w:val="a"/>
      <w:suff w:val="space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atalya Shlyapnikova">
    <w15:presenceInfo w15:providerId="WPS Office" w15:userId="3424054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5F"/>
    <w:rsid w:val="00001FD3"/>
    <w:rsid w:val="00003FB4"/>
    <w:rsid w:val="0002507E"/>
    <w:rsid w:val="0002535B"/>
    <w:rsid w:val="00036994"/>
    <w:rsid w:val="00052D70"/>
    <w:rsid w:val="000618F0"/>
    <w:rsid w:val="00065986"/>
    <w:rsid w:val="00071F6F"/>
    <w:rsid w:val="00072B85"/>
    <w:rsid w:val="00077533"/>
    <w:rsid w:val="00084715"/>
    <w:rsid w:val="000923AF"/>
    <w:rsid w:val="00095A83"/>
    <w:rsid w:val="000B61C9"/>
    <w:rsid w:val="000C6118"/>
    <w:rsid w:val="000D42AE"/>
    <w:rsid w:val="000E2258"/>
    <w:rsid w:val="000E2262"/>
    <w:rsid w:val="000E66A4"/>
    <w:rsid w:val="000F76C1"/>
    <w:rsid w:val="001018C5"/>
    <w:rsid w:val="00113991"/>
    <w:rsid w:val="00121CAF"/>
    <w:rsid w:val="00150656"/>
    <w:rsid w:val="00155754"/>
    <w:rsid w:val="001568DD"/>
    <w:rsid w:val="00162708"/>
    <w:rsid w:val="00165FB4"/>
    <w:rsid w:val="001750CC"/>
    <w:rsid w:val="00182412"/>
    <w:rsid w:val="00187912"/>
    <w:rsid w:val="001924CC"/>
    <w:rsid w:val="00192639"/>
    <w:rsid w:val="001B608C"/>
    <w:rsid w:val="001D08F6"/>
    <w:rsid w:val="001D3F50"/>
    <w:rsid w:val="001E0151"/>
    <w:rsid w:val="001E0231"/>
    <w:rsid w:val="001E0E21"/>
    <w:rsid w:val="001F44E8"/>
    <w:rsid w:val="001F6ECB"/>
    <w:rsid w:val="002032E4"/>
    <w:rsid w:val="0020636B"/>
    <w:rsid w:val="002076F4"/>
    <w:rsid w:val="00212FE8"/>
    <w:rsid w:val="00222C25"/>
    <w:rsid w:val="00225DBC"/>
    <w:rsid w:val="00225DD3"/>
    <w:rsid w:val="00231158"/>
    <w:rsid w:val="0025602D"/>
    <w:rsid w:val="002562F5"/>
    <w:rsid w:val="00263579"/>
    <w:rsid w:val="002725E7"/>
    <w:rsid w:val="002742BD"/>
    <w:rsid w:val="00285CCB"/>
    <w:rsid w:val="002A6087"/>
    <w:rsid w:val="002C6B3E"/>
    <w:rsid w:val="002D19E7"/>
    <w:rsid w:val="002D5EB3"/>
    <w:rsid w:val="002E41A0"/>
    <w:rsid w:val="00301D64"/>
    <w:rsid w:val="00302179"/>
    <w:rsid w:val="003144AB"/>
    <w:rsid w:val="003167D9"/>
    <w:rsid w:val="00336F3C"/>
    <w:rsid w:val="003374A0"/>
    <w:rsid w:val="00344119"/>
    <w:rsid w:val="003443D9"/>
    <w:rsid w:val="00363AE1"/>
    <w:rsid w:val="00367C21"/>
    <w:rsid w:val="0037616F"/>
    <w:rsid w:val="003811AC"/>
    <w:rsid w:val="003951DB"/>
    <w:rsid w:val="003A1A17"/>
    <w:rsid w:val="003A4719"/>
    <w:rsid w:val="003B0FA6"/>
    <w:rsid w:val="003B766B"/>
    <w:rsid w:val="003B7D5D"/>
    <w:rsid w:val="003D58F4"/>
    <w:rsid w:val="003E004F"/>
    <w:rsid w:val="003E2665"/>
    <w:rsid w:val="003F26ED"/>
    <w:rsid w:val="003F53EA"/>
    <w:rsid w:val="00400884"/>
    <w:rsid w:val="00402FA3"/>
    <w:rsid w:val="00440EB1"/>
    <w:rsid w:val="00447F91"/>
    <w:rsid w:val="004544F5"/>
    <w:rsid w:val="004547F2"/>
    <w:rsid w:val="00463D01"/>
    <w:rsid w:val="004703AB"/>
    <w:rsid w:val="00472316"/>
    <w:rsid w:val="004842DB"/>
    <w:rsid w:val="00491273"/>
    <w:rsid w:val="004963B7"/>
    <w:rsid w:val="004A0DBE"/>
    <w:rsid w:val="004A2FFE"/>
    <w:rsid w:val="004A6DC7"/>
    <w:rsid w:val="004A7C44"/>
    <w:rsid w:val="004C6FC0"/>
    <w:rsid w:val="004D75FC"/>
    <w:rsid w:val="004E3D20"/>
    <w:rsid w:val="004E7845"/>
    <w:rsid w:val="00500EFD"/>
    <w:rsid w:val="00506D8A"/>
    <w:rsid w:val="005153FC"/>
    <w:rsid w:val="00515B50"/>
    <w:rsid w:val="005208EB"/>
    <w:rsid w:val="00520B09"/>
    <w:rsid w:val="00526DAF"/>
    <w:rsid w:val="00532497"/>
    <w:rsid w:val="00552682"/>
    <w:rsid w:val="00552E9F"/>
    <w:rsid w:val="00555D9E"/>
    <w:rsid w:val="005617F9"/>
    <w:rsid w:val="00564BEC"/>
    <w:rsid w:val="00566E99"/>
    <w:rsid w:val="0057206D"/>
    <w:rsid w:val="0058209D"/>
    <w:rsid w:val="00590848"/>
    <w:rsid w:val="00593294"/>
    <w:rsid w:val="005A51C0"/>
    <w:rsid w:val="005A63BF"/>
    <w:rsid w:val="005B326A"/>
    <w:rsid w:val="005D1C19"/>
    <w:rsid w:val="005D3EC9"/>
    <w:rsid w:val="005D7C53"/>
    <w:rsid w:val="005E2B32"/>
    <w:rsid w:val="005F369B"/>
    <w:rsid w:val="005F3809"/>
    <w:rsid w:val="00606D0C"/>
    <w:rsid w:val="00613533"/>
    <w:rsid w:val="00614BC0"/>
    <w:rsid w:val="006246A3"/>
    <w:rsid w:val="00637BBB"/>
    <w:rsid w:val="00644119"/>
    <w:rsid w:val="00644C35"/>
    <w:rsid w:val="00660E67"/>
    <w:rsid w:val="0067012A"/>
    <w:rsid w:val="00672B46"/>
    <w:rsid w:val="006760A0"/>
    <w:rsid w:val="006912E9"/>
    <w:rsid w:val="00692AE2"/>
    <w:rsid w:val="00694E97"/>
    <w:rsid w:val="006B05E0"/>
    <w:rsid w:val="006B3CFA"/>
    <w:rsid w:val="006D231D"/>
    <w:rsid w:val="006E34B6"/>
    <w:rsid w:val="007038D0"/>
    <w:rsid w:val="00712D65"/>
    <w:rsid w:val="00751FAC"/>
    <w:rsid w:val="007618BB"/>
    <w:rsid w:val="00770696"/>
    <w:rsid w:val="00771859"/>
    <w:rsid w:val="00782FB9"/>
    <w:rsid w:val="00785063"/>
    <w:rsid w:val="00790763"/>
    <w:rsid w:val="007A07C1"/>
    <w:rsid w:val="007B6E47"/>
    <w:rsid w:val="007C6963"/>
    <w:rsid w:val="007C6F12"/>
    <w:rsid w:val="007E397A"/>
    <w:rsid w:val="007F2E48"/>
    <w:rsid w:val="008008D0"/>
    <w:rsid w:val="00821425"/>
    <w:rsid w:val="00831790"/>
    <w:rsid w:val="00845AF9"/>
    <w:rsid w:val="00852DCE"/>
    <w:rsid w:val="0087426F"/>
    <w:rsid w:val="0088757D"/>
    <w:rsid w:val="008934F8"/>
    <w:rsid w:val="008A3CD1"/>
    <w:rsid w:val="008A3D20"/>
    <w:rsid w:val="008B5179"/>
    <w:rsid w:val="008D09AD"/>
    <w:rsid w:val="008D3A8D"/>
    <w:rsid w:val="008E0395"/>
    <w:rsid w:val="008E1B43"/>
    <w:rsid w:val="0090315D"/>
    <w:rsid w:val="009057E3"/>
    <w:rsid w:val="00942833"/>
    <w:rsid w:val="009477B9"/>
    <w:rsid w:val="0097556D"/>
    <w:rsid w:val="00982F6F"/>
    <w:rsid w:val="009846F1"/>
    <w:rsid w:val="00991865"/>
    <w:rsid w:val="009A020D"/>
    <w:rsid w:val="009B3C54"/>
    <w:rsid w:val="009B6BAC"/>
    <w:rsid w:val="009C38F9"/>
    <w:rsid w:val="009C3E7D"/>
    <w:rsid w:val="009F0306"/>
    <w:rsid w:val="009F0E73"/>
    <w:rsid w:val="009F4698"/>
    <w:rsid w:val="009F70BF"/>
    <w:rsid w:val="00A01AFB"/>
    <w:rsid w:val="00A05AD0"/>
    <w:rsid w:val="00A34A4B"/>
    <w:rsid w:val="00A360AE"/>
    <w:rsid w:val="00A43A6A"/>
    <w:rsid w:val="00A473C5"/>
    <w:rsid w:val="00A6555E"/>
    <w:rsid w:val="00A80F37"/>
    <w:rsid w:val="00A81B7B"/>
    <w:rsid w:val="00A9177C"/>
    <w:rsid w:val="00AA1CC5"/>
    <w:rsid w:val="00AA1FE6"/>
    <w:rsid w:val="00AB66AC"/>
    <w:rsid w:val="00AC22B3"/>
    <w:rsid w:val="00AC687E"/>
    <w:rsid w:val="00AF6776"/>
    <w:rsid w:val="00B02DFC"/>
    <w:rsid w:val="00B06ADD"/>
    <w:rsid w:val="00B10499"/>
    <w:rsid w:val="00B11E29"/>
    <w:rsid w:val="00B24042"/>
    <w:rsid w:val="00B26088"/>
    <w:rsid w:val="00B27698"/>
    <w:rsid w:val="00B33E5F"/>
    <w:rsid w:val="00B45666"/>
    <w:rsid w:val="00B52633"/>
    <w:rsid w:val="00B54DAF"/>
    <w:rsid w:val="00B5544E"/>
    <w:rsid w:val="00B86673"/>
    <w:rsid w:val="00B8788D"/>
    <w:rsid w:val="00B93ADB"/>
    <w:rsid w:val="00B96E52"/>
    <w:rsid w:val="00BA2325"/>
    <w:rsid w:val="00BA7D62"/>
    <w:rsid w:val="00BB653D"/>
    <w:rsid w:val="00BB6EA3"/>
    <w:rsid w:val="00BC2A91"/>
    <w:rsid w:val="00BC61EA"/>
    <w:rsid w:val="00BE4967"/>
    <w:rsid w:val="00BE7E60"/>
    <w:rsid w:val="00BF2A1D"/>
    <w:rsid w:val="00BF44CE"/>
    <w:rsid w:val="00C00B78"/>
    <w:rsid w:val="00C00E40"/>
    <w:rsid w:val="00C02119"/>
    <w:rsid w:val="00C10969"/>
    <w:rsid w:val="00C175F2"/>
    <w:rsid w:val="00C20B9D"/>
    <w:rsid w:val="00C22858"/>
    <w:rsid w:val="00C31A35"/>
    <w:rsid w:val="00C3363D"/>
    <w:rsid w:val="00C4100C"/>
    <w:rsid w:val="00C456E4"/>
    <w:rsid w:val="00C55158"/>
    <w:rsid w:val="00C739F6"/>
    <w:rsid w:val="00C80A78"/>
    <w:rsid w:val="00CB082C"/>
    <w:rsid w:val="00CB20FA"/>
    <w:rsid w:val="00CB315B"/>
    <w:rsid w:val="00CE4E43"/>
    <w:rsid w:val="00CE7928"/>
    <w:rsid w:val="00CF0DD1"/>
    <w:rsid w:val="00D0392B"/>
    <w:rsid w:val="00D04A39"/>
    <w:rsid w:val="00D0504D"/>
    <w:rsid w:val="00D07810"/>
    <w:rsid w:val="00D21663"/>
    <w:rsid w:val="00D36282"/>
    <w:rsid w:val="00D453D8"/>
    <w:rsid w:val="00D55899"/>
    <w:rsid w:val="00D570FC"/>
    <w:rsid w:val="00D73D34"/>
    <w:rsid w:val="00D7716B"/>
    <w:rsid w:val="00D773F7"/>
    <w:rsid w:val="00D77CB9"/>
    <w:rsid w:val="00D923D7"/>
    <w:rsid w:val="00DB2250"/>
    <w:rsid w:val="00DB3664"/>
    <w:rsid w:val="00DB62E8"/>
    <w:rsid w:val="00DD0BE2"/>
    <w:rsid w:val="00DD4024"/>
    <w:rsid w:val="00DD74F7"/>
    <w:rsid w:val="00DF514D"/>
    <w:rsid w:val="00DF529E"/>
    <w:rsid w:val="00DF5BE8"/>
    <w:rsid w:val="00E0106B"/>
    <w:rsid w:val="00E4483D"/>
    <w:rsid w:val="00E4667A"/>
    <w:rsid w:val="00E46A84"/>
    <w:rsid w:val="00E56C91"/>
    <w:rsid w:val="00E770AB"/>
    <w:rsid w:val="00E81828"/>
    <w:rsid w:val="00E824CF"/>
    <w:rsid w:val="00E83855"/>
    <w:rsid w:val="00E911AE"/>
    <w:rsid w:val="00E96AE9"/>
    <w:rsid w:val="00EA21E6"/>
    <w:rsid w:val="00EA3085"/>
    <w:rsid w:val="00EC2521"/>
    <w:rsid w:val="00ED6A56"/>
    <w:rsid w:val="00ED72F2"/>
    <w:rsid w:val="00ED730B"/>
    <w:rsid w:val="00EE6E0B"/>
    <w:rsid w:val="00EF14A0"/>
    <w:rsid w:val="00EF3293"/>
    <w:rsid w:val="00EF5BCA"/>
    <w:rsid w:val="00EF739D"/>
    <w:rsid w:val="00F07AC7"/>
    <w:rsid w:val="00F42849"/>
    <w:rsid w:val="00F5789F"/>
    <w:rsid w:val="00F646E3"/>
    <w:rsid w:val="00F67DE0"/>
    <w:rsid w:val="00F706B0"/>
    <w:rsid w:val="00F70FB8"/>
    <w:rsid w:val="00F87363"/>
    <w:rsid w:val="00F91A04"/>
    <w:rsid w:val="00FB60EB"/>
    <w:rsid w:val="00FB7CC8"/>
    <w:rsid w:val="00FC3619"/>
    <w:rsid w:val="00FD034E"/>
    <w:rsid w:val="00FD2F37"/>
    <w:rsid w:val="00FF14D1"/>
    <w:rsid w:val="00FF5212"/>
    <w:rsid w:val="030714DF"/>
    <w:rsid w:val="281D2DB5"/>
    <w:rsid w:val="29380845"/>
    <w:rsid w:val="2EDE2ACE"/>
    <w:rsid w:val="4B332DD7"/>
    <w:rsid w:val="514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/>
    <w:lsdException w:name="footer" w:semiHidden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basedOn w:val="a1"/>
    <w:uiPriority w:val="99"/>
    <w:semiHidden/>
    <w:unhideWhenUsed/>
    <w:qFormat/>
    <w:rPr>
      <w:vertAlign w:val="superscript"/>
    </w:rPr>
  </w:style>
  <w:style w:type="character" w:styleId="a5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6">
    <w:name w:val="Hyperlink"/>
    <w:basedOn w:val="a1"/>
    <w:uiPriority w:val="99"/>
    <w:unhideWhenUsed/>
    <w:qFormat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qFormat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footnote text"/>
    <w:basedOn w:val="a0"/>
    <w:link w:val="ae"/>
    <w:uiPriority w:val="99"/>
    <w:semiHidden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ody Text Indent"/>
    <w:basedOn w:val="a0"/>
    <w:link w:val="af2"/>
    <w:uiPriority w:val="99"/>
    <w:semiHidden/>
    <w:unhideWhenUsed/>
    <w:pPr>
      <w:spacing w:after="120"/>
      <w:ind w:left="283"/>
    </w:pPr>
  </w:style>
  <w:style w:type="paragraph" w:styleId="af3">
    <w:name w:val="footer"/>
    <w:basedOn w:val="a0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rmal (Web)"/>
    <w:basedOn w:val="a0"/>
    <w:uiPriority w:val="99"/>
    <w:semiHidden/>
    <w:unhideWhenUsed/>
    <w:qFormat/>
    <w:rPr>
      <w:rFonts w:ascii="Times New Roman" w:eastAsia="Calibri" w:hAnsi="Times New Roman" w:cs="Times New Roman"/>
      <w:sz w:val="24"/>
      <w:szCs w:val="24"/>
    </w:rPr>
  </w:style>
  <w:style w:type="table" w:styleId="af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uiPriority w:val="34"/>
    <w:qFormat/>
    <w:pPr>
      <w:ind w:left="720"/>
      <w:contextualSpacing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qFormat/>
  </w:style>
  <w:style w:type="character" w:customStyle="1" w:styleId="a8">
    <w:name w:val="Текст выноски Знак"/>
    <w:basedOn w:val="a1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1"/>
    <w:link w:val="af"/>
    <w:uiPriority w:val="99"/>
    <w:qFormat/>
  </w:style>
  <w:style w:type="character" w:customStyle="1" w:styleId="af4">
    <w:name w:val="Нижний колонтитул Знак"/>
    <w:basedOn w:val="a1"/>
    <w:link w:val="af3"/>
    <w:uiPriority w:val="99"/>
    <w:qFormat/>
  </w:style>
  <w:style w:type="character" w:customStyle="1" w:styleId="30">
    <w:name w:val="Заголовок 3 Знак"/>
    <w:basedOn w:val="a1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ункт"/>
    <w:basedOn w:val="a0"/>
    <w:qFormat/>
    <w:pPr>
      <w:numPr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e">
    <w:name w:val="Текст сноски Знак"/>
    <w:basedOn w:val="a1"/>
    <w:link w:val="ad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Рецензия1"/>
    <w:hidden/>
    <w:uiPriority w:val="99"/>
    <w:semiHidden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/>
    <w:lsdException w:name="footer" w:semiHidden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basedOn w:val="a1"/>
    <w:uiPriority w:val="99"/>
    <w:semiHidden/>
    <w:unhideWhenUsed/>
    <w:qFormat/>
    <w:rPr>
      <w:vertAlign w:val="superscript"/>
    </w:rPr>
  </w:style>
  <w:style w:type="character" w:styleId="a5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6">
    <w:name w:val="Hyperlink"/>
    <w:basedOn w:val="a1"/>
    <w:uiPriority w:val="99"/>
    <w:unhideWhenUsed/>
    <w:qFormat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qFormat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footnote text"/>
    <w:basedOn w:val="a0"/>
    <w:link w:val="ae"/>
    <w:uiPriority w:val="99"/>
    <w:semiHidden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ody Text Indent"/>
    <w:basedOn w:val="a0"/>
    <w:link w:val="af2"/>
    <w:uiPriority w:val="99"/>
    <w:semiHidden/>
    <w:unhideWhenUsed/>
    <w:pPr>
      <w:spacing w:after="120"/>
      <w:ind w:left="283"/>
    </w:pPr>
  </w:style>
  <w:style w:type="paragraph" w:styleId="af3">
    <w:name w:val="footer"/>
    <w:basedOn w:val="a0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rmal (Web)"/>
    <w:basedOn w:val="a0"/>
    <w:uiPriority w:val="99"/>
    <w:semiHidden/>
    <w:unhideWhenUsed/>
    <w:qFormat/>
    <w:rPr>
      <w:rFonts w:ascii="Times New Roman" w:eastAsia="Calibri" w:hAnsi="Times New Roman" w:cs="Times New Roman"/>
      <w:sz w:val="24"/>
      <w:szCs w:val="24"/>
    </w:rPr>
  </w:style>
  <w:style w:type="table" w:styleId="af6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uiPriority w:val="34"/>
    <w:qFormat/>
    <w:pPr>
      <w:ind w:left="720"/>
      <w:contextualSpacing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qFormat/>
  </w:style>
  <w:style w:type="character" w:customStyle="1" w:styleId="a8">
    <w:name w:val="Текст выноски Знак"/>
    <w:basedOn w:val="a1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1"/>
    <w:link w:val="af"/>
    <w:uiPriority w:val="99"/>
    <w:qFormat/>
  </w:style>
  <w:style w:type="character" w:customStyle="1" w:styleId="af4">
    <w:name w:val="Нижний колонтитул Знак"/>
    <w:basedOn w:val="a1"/>
    <w:link w:val="af3"/>
    <w:uiPriority w:val="99"/>
    <w:qFormat/>
  </w:style>
  <w:style w:type="character" w:customStyle="1" w:styleId="30">
    <w:name w:val="Заголовок 3 Знак"/>
    <w:basedOn w:val="a1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ункт"/>
    <w:basedOn w:val="a0"/>
    <w:qFormat/>
    <w:pPr>
      <w:numPr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e">
    <w:name w:val="Текст сноски Знак"/>
    <w:basedOn w:val="a1"/>
    <w:link w:val="ad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Рецензия1"/>
    <w:hidden/>
    <w:uiPriority w:val="99"/>
    <w:semiHidden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039A-7375-4346-AE06-B858138D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4298</Words>
  <Characters>24503</Characters>
  <Application>Microsoft Office Word</Application>
  <DocSecurity>0</DocSecurity>
  <Lines>204</Lines>
  <Paragraphs>57</Paragraphs>
  <ScaleCrop>false</ScaleCrop>
  <Company>HP Inc.</Company>
  <LinksUpToDate>false</LinksUpToDate>
  <CharactersWithSpaces>28744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Лискина Арина Сергеевна</cp:lastModifiedBy>
  <cp:revision>22</cp:revision>
  <cp:lastPrinted>2024-10-02T09:06:00Z</cp:lastPrinted>
  <dcterms:created xsi:type="dcterms:W3CDTF">2024-09-04T13:38:00Z</dcterms:created>
  <dcterms:modified xsi:type="dcterms:W3CDTF">2024-10-21T09:50:00Z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85A4A8EDEC2244CFBBC09F6376E0E41B_13</vt:lpwstr>
  </property>
</Properties>
</file>