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569BF" w14:textId="77777777" w:rsidR="003B65B0" w:rsidRDefault="00722737" w:rsidP="00E57EDB">
      <w:pPr>
        <w:pStyle w:val="a6"/>
        <w:jc w:val="center"/>
        <w:rPr>
          <w:rFonts w:ascii="Times New Roman" w:eastAsiaTheme="minorHAnsi" w:hAnsi="Times New Roman"/>
          <w:b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Cs w:val="28"/>
        </w:rPr>
        <w:t>К</w:t>
      </w:r>
      <w:r w:rsidRPr="00722737">
        <w:rPr>
          <w:rFonts w:ascii="Times New Roman" w:eastAsiaTheme="minorHAnsi" w:hAnsi="Times New Roman"/>
          <w:b/>
          <w:szCs w:val="28"/>
        </w:rPr>
        <w:t>омментарии и предложения экспертов Российского союза промышленников и предпринимателей по проекту федерального закона «О федеральном бюджете на 2023 год и на п</w:t>
      </w:r>
      <w:r>
        <w:rPr>
          <w:rFonts w:ascii="Times New Roman" w:eastAsiaTheme="minorHAnsi" w:hAnsi="Times New Roman"/>
          <w:b/>
          <w:szCs w:val="28"/>
        </w:rPr>
        <w:t xml:space="preserve">лановый </w:t>
      </w:r>
      <w:r>
        <w:rPr>
          <w:rFonts w:ascii="Times New Roman" w:eastAsiaTheme="minorHAnsi" w:hAnsi="Times New Roman"/>
          <w:b/>
          <w:szCs w:val="28"/>
        </w:rPr>
        <w:br/>
        <w:t>период 2024-2025 годов»</w:t>
      </w:r>
    </w:p>
    <w:p w14:paraId="7A4685DF" w14:textId="77777777" w:rsidR="00722737" w:rsidRPr="004374F2" w:rsidRDefault="00722737" w:rsidP="00E57EDB">
      <w:pPr>
        <w:pStyle w:val="a6"/>
        <w:jc w:val="center"/>
        <w:rPr>
          <w:rFonts w:ascii="Times New Roman" w:hAnsi="Times New Roman" w:cs="Times New Roman"/>
          <w:szCs w:val="28"/>
        </w:rPr>
      </w:pPr>
    </w:p>
    <w:p w14:paraId="7E8AB2C5" w14:textId="77777777" w:rsidR="005715F5" w:rsidRPr="004374F2" w:rsidRDefault="005715F5" w:rsidP="00D5015F">
      <w:pPr>
        <w:pStyle w:val="a6"/>
        <w:spacing w:line="276" w:lineRule="auto"/>
        <w:ind w:left="20" w:firstLine="700"/>
        <w:rPr>
          <w:rFonts w:ascii="Times New Roman" w:hAnsi="Times New Roman" w:cs="Times New Roman"/>
          <w:szCs w:val="28"/>
        </w:rPr>
      </w:pPr>
      <w:r w:rsidRPr="004374F2">
        <w:rPr>
          <w:rFonts w:ascii="Times New Roman" w:hAnsi="Times New Roman" w:cs="Times New Roman"/>
          <w:szCs w:val="28"/>
        </w:rPr>
        <w:t>Проект федерального бюджета готовился в экстремальных условиях, которые при этом крайне быстро изменяются в сторону ещё большей экстремальности.</w:t>
      </w:r>
      <w:r w:rsidR="00B73A36" w:rsidRPr="004374F2">
        <w:rPr>
          <w:rFonts w:ascii="Times New Roman" w:hAnsi="Times New Roman" w:cs="Times New Roman"/>
          <w:szCs w:val="28"/>
        </w:rPr>
        <w:t xml:space="preserve"> </w:t>
      </w:r>
      <w:r w:rsidR="004B0EB7">
        <w:rPr>
          <w:rFonts w:ascii="Times New Roman" w:hAnsi="Times New Roman" w:cs="Times New Roman"/>
          <w:szCs w:val="28"/>
        </w:rPr>
        <w:t>Вместе с тем, эксперты Российского союза промышленников и предпринимателей отмечают необходимость даже в текущих условиях обеспечить применение стандартов и лучших практик подготовки бюджета</w:t>
      </w:r>
      <w:r w:rsidRPr="004374F2">
        <w:rPr>
          <w:rFonts w:ascii="Times New Roman" w:hAnsi="Times New Roman" w:cs="Times New Roman"/>
          <w:szCs w:val="28"/>
        </w:rPr>
        <w:t>.</w:t>
      </w:r>
    </w:p>
    <w:p w14:paraId="29F92C06" w14:textId="77777777" w:rsidR="00017AE5" w:rsidRPr="004374F2" w:rsidRDefault="005715F5" w:rsidP="005715F5">
      <w:pPr>
        <w:pStyle w:val="a6"/>
        <w:numPr>
          <w:ilvl w:val="0"/>
          <w:numId w:val="3"/>
        </w:numPr>
        <w:spacing w:line="276" w:lineRule="auto"/>
        <w:ind w:left="20" w:firstLine="700"/>
        <w:rPr>
          <w:rFonts w:ascii="Times New Roman" w:hAnsi="Times New Roman" w:cs="Times New Roman"/>
          <w:b/>
          <w:szCs w:val="28"/>
        </w:rPr>
      </w:pPr>
      <w:r w:rsidRPr="004374F2">
        <w:rPr>
          <w:rFonts w:ascii="Times New Roman" w:hAnsi="Times New Roman" w:cs="Times New Roman"/>
          <w:b/>
          <w:szCs w:val="28"/>
        </w:rPr>
        <w:t xml:space="preserve">Публичное обсуждение ключевых параметров бюджета с заинтересованными сторонами. </w:t>
      </w:r>
    </w:p>
    <w:p w14:paraId="571AB0C7" w14:textId="77777777" w:rsidR="00541439" w:rsidRDefault="00541439" w:rsidP="00541439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Значимой проблемой является отсутствие у государства системного подхода к диалогу с бизнес-сообществом при разработке налоговых законопроектов. Инициативы, имеющие колоссальное значение для предпринимателей и производителей, кулуарно готовятся разработчиками НПА и становятся публичными только на этапе внесения в Государственную Думу Федерального Собрания Российской Федерации. При этом в рамках Общественных советов при федеральных органах не проводится экспертиза чувствительных законопроектов. В таких условиях шансы на учет предложений бизнеса традиционно являются невысокими, даже при условии направления обращений от крупных объединений бизнеса. </w:t>
      </w:r>
    </w:p>
    <w:p w14:paraId="35FCB0E3" w14:textId="77777777" w:rsidR="005715F5" w:rsidRPr="004B0EB7" w:rsidRDefault="005715F5" w:rsidP="00017AE5">
      <w:pPr>
        <w:pStyle w:val="a6"/>
        <w:spacing w:line="276" w:lineRule="auto"/>
        <w:ind w:left="20" w:firstLine="688"/>
        <w:rPr>
          <w:rFonts w:ascii="Times New Roman" w:hAnsi="Times New Roman" w:cs="Times New Roman"/>
          <w:szCs w:val="28"/>
        </w:rPr>
      </w:pPr>
      <w:r w:rsidRPr="004B0EB7">
        <w:rPr>
          <w:rFonts w:ascii="Times New Roman" w:hAnsi="Times New Roman" w:cs="Times New Roman"/>
          <w:szCs w:val="28"/>
        </w:rPr>
        <w:t xml:space="preserve">В </w:t>
      </w:r>
      <w:r w:rsidR="00541439">
        <w:rPr>
          <w:rFonts w:ascii="Times New Roman" w:hAnsi="Times New Roman" w:cs="Times New Roman"/>
          <w:szCs w:val="28"/>
        </w:rPr>
        <w:t xml:space="preserve">частности, в рассматриваемый </w:t>
      </w:r>
      <w:r w:rsidRPr="004B0EB7">
        <w:rPr>
          <w:rFonts w:ascii="Times New Roman" w:hAnsi="Times New Roman" w:cs="Times New Roman"/>
          <w:szCs w:val="28"/>
        </w:rPr>
        <w:t xml:space="preserve">проект бюджета были заложены нормы по повышению фискальной нагрузки на бизнес, которые не </w:t>
      </w:r>
      <w:r w:rsidR="00CE7DEC" w:rsidRPr="004B0EB7">
        <w:rPr>
          <w:rFonts w:ascii="Times New Roman" w:hAnsi="Times New Roman" w:cs="Times New Roman"/>
          <w:szCs w:val="28"/>
        </w:rPr>
        <w:t xml:space="preserve">были </w:t>
      </w:r>
      <w:r w:rsidRPr="004B0EB7">
        <w:rPr>
          <w:rFonts w:ascii="Times New Roman" w:hAnsi="Times New Roman" w:cs="Times New Roman"/>
          <w:szCs w:val="28"/>
        </w:rPr>
        <w:t>приняты</w:t>
      </w:r>
      <w:r w:rsidR="00CE7DEC" w:rsidRPr="004B0EB7">
        <w:rPr>
          <w:rFonts w:ascii="Times New Roman" w:hAnsi="Times New Roman" w:cs="Times New Roman"/>
          <w:szCs w:val="28"/>
        </w:rPr>
        <w:t xml:space="preserve"> к моменту рассмотрения проекта бюджета Правительством РФ</w:t>
      </w:r>
      <w:r w:rsidR="00DB3B01" w:rsidRPr="004B0EB7">
        <w:rPr>
          <w:rFonts w:ascii="Times New Roman" w:hAnsi="Times New Roman" w:cs="Times New Roman"/>
          <w:szCs w:val="28"/>
        </w:rPr>
        <w:t>,</w:t>
      </w:r>
      <w:r w:rsidR="00CE7DEC" w:rsidRPr="004B0EB7">
        <w:rPr>
          <w:rFonts w:ascii="Times New Roman" w:hAnsi="Times New Roman" w:cs="Times New Roman"/>
          <w:szCs w:val="28"/>
        </w:rPr>
        <w:t xml:space="preserve"> и даже </w:t>
      </w:r>
      <w:r w:rsidRPr="004B0EB7">
        <w:rPr>
          <w:rFonts w:ascii="Times New Roman" w:hAnsi="Times New Roman" w:cs="Times New Roman"/>
          <w:szCs w:val="28"/>
        </w:rPr>
        <w:t>не обсуждены с заинтересованными сторонами.</w:t>
      </w:r>
    </w:p>
    <w:p w14:paraId="3A1AD233" w14:textId="77777777" w:rsidR="00207F57" w:rsidRPr="004374F2" w:rsidRDefault="00207F57" w:rsidP="005715F5">
      <w:pPr>
        <w:pStyle w:val="a6"/>
        <w:numPr>
          <w:ilvl w:val="0"/>
          <w:numId w:val="3"/>
        </w:numPr>
        <w:spacing w:line="276" w:lineRule="auto"/>
        <w:ind w:left="20" w:firstLine="700"/>
        <w:rPr>
          <w:rFonts w:ascii="Times New Roman" w:hAnsi="Times New Roman" w:cs="Times New Roman"/>
          <w:b/>
          <w:szCs w:val="28"/>
        </w:rPr>
      </w:pPr>
      <w:r w:rsidRPr="004374F2">
        <w:rPr>
          <w:rFonts w:ascii="Times New Roman" w:hAnsi="Times New Roman" w:cs="Times New Roman"/>
          <w:b/>
          <w:szCs w:val="28"/>
        </w:rPr>
        <w:t>Прекращение «ползучего» повышения фискальной нагрузки</w:t>
      </w:r>
    </w:p>
    <w:p w14:paraId="31FED149" w14:textId="77777777" w:rsidR="004B0EB7" w:rsidRDefault="00207F57" w:rsidP="00207F57">
      <w:pPr>
        <w:pStyle w:val="a6"/>
        <w:spacing w:line="276" w:lineRule="auto"/>
        <w:ind w:left="20" w:firstLine="688"/>
        <w:rPr>
          <w:rFonts w:ascii="Times New Roman" w:hAnsi="Times New Roman" w:cs="Times New Roman"/>
          <w:szCs w:val="28"/>
        </w:rPr>
      </w:pPr>
      <w:r w:rsidRPr="004374F2">
        <w:rPr>
          <w:rFonts w:ascii="Times New Roman" w:hAnsi="Times New Roman" w:cs="Times New Roman"/>
          <w:szCs w:val="28"/>
        </w:rPr>
        <w:t xml:space="preserve">При формальном </w:t>
      </w:r>
      <w:proofErr w:type="spellStart"/>
      <w:r w:rsidRPr="004374F2">
        <w:rPr>
          <w:rFonts w:ascii="Times New Roman" w:hAnsi="Times New Roman" w:cs="Times New Roman"/>
          <w:szCs w:val="28"/>
        </w:rPr>
        <w:t>неповышении</w:t>
      </w:r>
      <w:proofErr w:type="spellEnd"/>
      <w:r w:rsidRPr="004374F2">
        <w:rPr>
          <w:rFonts w:ascii="Times New Roman" w:hAnsi="Times New Roman" w:cs="Times New Roman"/>
          <w:szCs w:val="28"/>
        </w:rPr>
        <w:t xml:space="preserve"> налоговой нагрузки на бизнес она</w:t>
      </w:r>
      <w:r w:rsidR="004B0EB7">
        <w:rPr>
          <w:rFonts w:ascii="Times New Roman" w:hAnsi="Times New Roman" w:cs="Times New Roman"/>
          <w:szCs w:val="28"/>
        </w:rPr>
        <w:t xml:space="preserve"> регулярно</w:t>
      </w:r>
      <w:r w:rsidRPr="004374F2">
        <w:rPr>
          <w:rFonts w:ascii="Times New Roman" w:hAnsi="Times New Roman" w:cs="Times New Roman"/>
          <w:szCs w:val="28"/>
        </w:rPr>
        <w:t xml:space="preserve"> увеличивается через корректировку налоговой базы, предельных величин, изменение порядка расчета налогов и другие </w:t>
      </w:r>
      <w:proofErr w:type="spellStart"/>
      <w:r w:rsidRPr="004374F2">
        <w:rPr>
          <w:rFonts w:ascii="Times New Roman" w:hAnsi="Times New Roman" w:cs="Times New Roman"/>
          <w:szCs w:val="28"/>
        </w:rPr>
        <w:t>полуадминистративные</w:t>
      </w:r>
      <w:proofErr w:type="spellEnd"/>
      <w:r w:rsidRPr="004374F2">
        <w:rPr>
          <w:rFonts w:ascii="Times New Roman" w:hAnsi="Times New Roman" w:cs="Times New Roman"/>
          <w:szCs w:val="28"/>
        </w:rPr>
        <w:t xml:space="preserve"> меры, которые приводят к существенному росту платежей в бюджет. </w:t>
      </w:r>
      <w:r w:rsidR="004B0EB7">
        <w:rPr>
          <w:rFonts w:ascii="Times New Roman" w:hAnsi="Times New Roman" w:cs="Times New Roman"/>
          <w:szCs w:val="28"/>
        </w:rPr>
        <w:t xml:space="preserve">Это характерно и для рассматриваемого проекта федерального бюджета. </w:t>
      </w:r>
    </w:p>
    <w:p w14:paraId="17AFA06F" w14:textId="77777777" w:rsidR="00207F57" w:rsidRDefault="00207F57" w:rsidP="00207F57">
      <w:pPr>
        <w:pStyle w:val="a6"/>
        <w:spacing w:line="276" w:lineRule="auto"/>
        <w:ind w:left="20" w:firstLine="688"/>
        <w:rPr>
          <w:rFonts w:ascii="Times New Roman" w:hAnsi="Times New Roman" w:cs="Times New Roman"/>
          <w:szCs w:val="28"/>
        </w:rPr>
      </w:pPr>
      <w:r w:rsidRPr="004374F2">
        <w:rPr>
          <w:rFonts w:ascii="Times New Roman" w:hAnsi="Times New Roman" w:cs="Times New Roman"/>
          <w:szCs w:val="28"/>
        </w:rPr>
        <w:t>Полагаем, что увеличение налоговой нагрузки в текущих условиях приведёт к прямо противо</w:t>
      </w:r>
      <w:r w:rsidR="004B0EB7">
        <w:rPr>
          <w:rFonts w:ascii="Times New Roman" w:hAnsi="Times New Roman" w:cs="Times New Roman"/>
          <w:szCs w:val="28"/>
        </w:rPr>
        <w:t>положному фискальному эффекту, в результате ухудшения положения компаний из-за возросшей на них нагрузки</w:t>
      </w:r>
      <w:r w:rsidRPr="004374F2">
        <w:rPr>
          <w:rFonts w:ascii="Times New Roman" w:hAnsi="Times New Roman" w:cs="Times New Roman"/>
          <w:szCs w:val="28"/>
        </w:rPr>
        <w:t xml:space="preserve"> бюджетная система недополучит налоги. </w:t>
      </w:r>
      <w:r w:rsidR="004B0EB7">
        <w:rPr>
          <w:rFonts w:ascii="Times New Roman" w:hAnsi="Times New Roman" w:cs="Times New Roman"/>
          <w:szCs w:val="28"/>
        </w:rPr>
        <w:t>Т</w:t>
      </w:r>
      <w:r w:rsidRPr="004374F2">
        <w:rPr>
          <w:rFonts w:ascii="Times New Roman" w:hAnsi="Times New Roman" w:cs="Times New Roman"/>
          <w:szCs w:val="28"/>
        </w:rPr>
        <w:t xml:space="preserve">ренд на хаотичное и </w:t>
      </w:r>
      <w:r w:rsidR="004B0EB7">
        <w:rPr>
          <w:rFonts w:ascii="Times New Roman" w:hAnsi="Times New Roman" w:cs="Times New Roman"/>
          <w:szCs w:val="28"/>
        </w:rPr>
        <w:t>«</w:t>
      </w:r>
      <w:r w:rsidRPr="004374F2">
        <w:rPr>
          <w:rFonts w:ascii="Times New Roman" w:hAnsi="Times New Roman" w:cs="Times New Roman"/>
          <w:szCs w:val="28"/>
        </w:rPr>
        <w:t>ползучее</w:t>
      </w:r>
      <w:r w:rsidR="004B0EB7">
        <w:rPr>
          <w:rFonts w:ascii="Times New Roman" w:hAnsi="Times New Roman" w:cs="Times New Roman"/>
          <w:szCs w:val="28"/>
        </w:rPr>
        <w:t>»</w:t>
      </w:r>
      <w:r w:rsidRPr="004374F2">
        <w:rPr>
          <w:rFonts w:ascii="Times New Roman" w:hAnsi="Times New Roman" w:cs="Times New Roman"/>
          <w:szCs w:val="28"/>
        </w:rPr>
        <w:t xml:space="preserve"> повышение нагрузки нужно прекратить.</w:t>
      </w:r>
    </w:p>
    <w:p w14:paraId="47AA7DAB" w14:textId="77777777" w:rsidR="00541439" w:rsidRDefault="00541439" w:rsidP="00541439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РСПП убежден, что фискальная нагрузка должна устанавливаться на основании всесторонней оценки. Интересы государства и налогоплательщиков совпадают в части установления оптимального уровня налоговой нагрузки, при которой будет обеспечиваться активность экономики.</w:t>
      </w:r>
      <w:r>
        <w:t xml:space="preserve"> </w:t>
      </w:r>
      <w:r>
        <w:rPr>
          <w:rFonts w:cs="Times New Roman"/>
          <w:szCs w:val="28"/>
        </w:rPr>
        <w:t xml:space="preserve">Повышение деловой активности способствует увеличению базы для взимания налогов и сборов и закладывает предпосылки для увеличения поступлений в будущем. </w:t>
      </w:r>
    </w:p>
    <w:p w14:paraId="72A3DD90" w14:textId="77777777" w:rsidR="00541439" w:rsidRDefault="00541439" w:rsidP="00541439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>Сейчас наблюдается очередное возвращение бюджетно-налоговой политики к антикризисной модели, которая переставляет акценты на краткосрочные задачи в ущерб средне- и долгосрочным целям. Можно назвать три основные системные проблемы текущего подхода:</w:t>
      </w:r>
    </w:p>
    <w:p w14:paraId="1377D25B" w14:textId="77777777" w:rsidR="00541439" w:rsidRDefault="00541439" w:rsidP="00541439">
      <w:pPr>
        <w:pStyle w:val="a8"/>
        <w:numPr>
          <w:ilvl w:val="0"/>
          <w:numId w:val="4"/>
        </w:numPr>
        <w:spacing w:before="120" w:after="120" w:line="276" w:lineRule="auto"/>
        <w:ind w:left="0" w:firstLine="709"/>
        <w:jc w:val="both"/>
      </w:pPr>
      <w:r>
        <w:t xml:space="preserve">дальнейшее повышение налогового бремени в текущих условиях будет выдавливать часть предпринимателей и производителей в серую зону, приведет к необходимости сокращать программы инвестиций и социальные расходы, снижать планы по комплектации штата сотрудников, искать другие способы экономии (к примеру, перевод компаний и сотрудников в другие юрисдикции, в том числе по таким стратегическим направлениям как ИТ). </w:t>
      </w:r>
    </w:p>
    <w:p w14:paraId="76CD960B" w14:textId="77777777" w:rsidR="00541439" w:rsidRDefault="00541439" w:rsidP="00541439">
      <w:pPr>
        <w:pStyle w:val="a8"/>
        <w:numPr>
          <w:ilvl w:val="0"/>
          <w:numId w:val="4"/>
        </w:numPr>
        <w:spacing w:before="120" w:after="120" w:line="276" w:lineRule="auto"/>
        <w:ind w:left="0" w:firstLine="709"/>
        <w:jc w:val="both"/>
      </w:pPr>
      <w:r>
        <w:t xml:space="preserve">инициативы опираются на результаты 2021 г., несмотря на то, что макроэкономические показатели в РФ претерпели значительные изменения: в текущих реалиях не работает правило «больше налоговая ставка – больше налогов». </w:t>
      </w:r>
    </w:p>
    <w:p w14:paraId="48020B8C" w14:textId="77777777" w:rsidR="00541439" w:rsidRDefault="00541439" w:rsidP="00541439">
      <w:pPr>
        <w:pStyle w:val="a8"/>
        <w:numPr>
          <w:ilvl w:val="0"/>
          <w:numId w:val="4"/>
        </w:numPr>
        <w:spacing w:before="120" w:after="120" w:line="276" w:lineRule="auto"/>
        <w:ind w:left="0" w:firstLine="709"/>
        <w:jc w:val="both"/>
      </w:pPr>
      <w:r>
        <w:t>2023 год уже ознаменован существенными изменениями – объединение фондов социального и пенсионного страхования с попутным увеличением взносов на 1-3%, введение единого налогового счета и единого налогового платежа, введение акциза на сталь жидкую, изменение правил применения НДПИ и проч. Очередные изменения в системе налогов и сборов, не смотря на повторяющийся запрос со стороны бизнеса о стабильности, а также обещаниях со стороны государства, еще больше снижают привлекательность инвестиций.</w:t>
      </w:r>
    </w:p>
    <w:p w14:paraId="1181D4E7" w14:textId="77777777" w:rsidR="00541439" w:rsidRDefault="00541439" w:rsidP="00541439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>При этом сфере налоговой политики РФ уже были такие примеры, когда высокие ставки не приводили к увеличению доходов бюджета, а их снижение наоборот приводило к росту доходов бюджета:</w:t>
      </w:r>
    </w:p>
    <w:p w14:paraId="3CD149A1" w14:textId="77777777" w:rsidR="00541439" w:rsidRDefault="00541439" w:rsidP="00541439">
      <w:pPr>
        <w:pStyle w:val="a8"/>
        <w:numPr>
          <w:ilvl w:val="0"/>
          <w:numId w:val="5"/>
        </w:numPr>
        <w:spacing w:before="120" w:after="120" w:line="276" w:lineRule="auto"/>
        <w:ind w:left="0" w:firstLine="709"/>
        <w:jc w:val="both"/>
      </w:pPr>
      <w:r>
        <w:t>как отмечено в специальном докладе «Деловой климат в России. Что изменилось за 10 лет» уполномоченного при Президенте РФ по защите прав предпринимателей,</w:t>
      </w:r>
      <w:r>
        <w:rPr>
          <w:b/>
        </w:rPr>
        <w:t xml:space="preserve"> </w:t>
      </w:r>
      <w:r>
        <w:t>несмотря на снижение страховых взносов для малого и среднего бизнеса в 2020 году, по итогам и 2020 и 2021 годов сумма поступлений от страховых взносов в бюджеты социальных фондов росла.</w:t>
      </w:r>
    </w:p>
    <w:p w14:paraId="440289AB" w14:textId="77777777" w:rsidR="00541439" w:rsidRDefault="00541439" w:rsidP="00541439">
      <w:pPr>
        <w:pStyle w:val="a8"/>
        <w:numPr>
          <w:ilvl w:val="0"/>
          <w:numId w:val="5"/>
        </w:numPr>
        <w:spacing w:before="120" w:after="120" w:line="276" w:lineRule="auto"/>
        <w:ind w:left="0" w:firstLine="709"/>
        <w:jc w:val="both"/>
      </w:pPr>
      <w:r>
        <w:t xml:space="preserve">введение плоской шкалы НДФЛ в 13% привело к увеличению поступлений в НДФЛ в бюджет с 2,4% до 2,9% от ВВП РФ. </w:t>
      </w:r>
    </w:p>
    <w:p w14:paraId="30683957" w14:textId="77777777" w:rsidR="00541439" w:rsidRPr="004374F2" w:rsidRDefault="00541439" w:rsidP="00541439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Речь идет не только о крупнейшем бизнесе, которой в последние несколько лет адресно попадал под </w:t>
      </w:r>
      <w:proofErr w:type="spellStart"/>
      <w:r>
        <w:rPr>
          <w:rFonts w:cs="Times New Roman"/>
          <w:szCs w:val="28"/>
        </w:rPr>
        <w:t>донастройку</w:t>
      </w:r>
      <w:proofErr w:type="spellEnd"/>
      <w:r>
        <w:rPr>
          <w:rFonts w:cs="Times New Roman"/>
          <w:szCs w:val="28"/>
        </w:rPr>
        <w:t xml:space="preserve"> системы налогов и сборов, но и представителей малого и среднего бизнеса. В особенности это касается изменений в части НДФЛ и социальных взносов – рост этих отчислений ложится, в конечном счете, на работодателя.</w:t>
      </w:r>
    </w:p>
    <w:p w14:paraId="296C9EBD" w14:textId="77777777" w:rsidR="00017AE5" w:rsidRPr="004374F2" w:rsidRDefault="005715F5" w:rsidP="005715F5">
      <w:pPr>
        <w:pStyle w:val="a6"/>
        <w:numPr>
          <w:ilvl w:val="0"/>
          <w:numId w:val="3"/>
        </w:numPr>
        <w:spacing w:line="276" w:lineRule="auto"/>
        <w:ind w:left="20" w:firstLine="700"/>
        <w:rPr>
          <w:rFonts w:ascii="Times New Roman" w:hAnsi="Times New Roman" w:cs="Times New Roman"/>
          <w:b/>
          <w:szCs w:val="28"/>
        </w:rPr>
      </w:pPr>
      <w:r w:rsidRPr="004374F2">
        <w:rPr>
          <w:rFonts w:ascii="Times New Roman" w:hAnsi="Times New Roman" w:cs="Times New Roman"/>
          <w:b/>
          <w:szCs w:val="28"/>
        </w:rPr>
        <w:t>Комплексная оценка последствий</w:t>
      </w:r>
      <w:r w:rsidR="00017AE5" w:rsidRPr="004374F2">
        <w:rPr>
          <w:rFonts w:ascii="Times New Roman" w:hAnsi="Times New Roman" w:cs="Times New Roman"/>
          <w:b/>
          <w:szCs w:val="28"/>
        </w:rPr>
        <w:t xml:space="preserve"> предлагаемых новаций</w:t>
      </w:r>
      <w:r w:rsidRPr="004374F2">
        <w:rPr>
          <w:rFonts w:ascii="Times New Roman" w:hAnsi="Times New Roman" w:cs="Times New Roman"/>
          <w:b/>
          <w:szCs w:val="28"/>
        </w:rPr>
        <w:t xml:space="preserve">. </w:t>
      </w:r>
    </w:p>
    <w:p w14:paraId="47129439" w14:textId="77777777" w:rsidR="00B73A36" w:rsidRPr="004B0EB7" w:rsidRDefault="00B73A36" w:rsidP="00B73A36">
      <w:pPr>
        <w:pStyle w:val="a6"/>
        <w:spacing w:line="276" w:lineRule="auto"/>
        <w:ind w:firstLine="708"/>
        <w:rPr>
          <w:rFonts w:ascii="Times New Roman" w:hAnsi="Times New Roman" w:cs="Times New Roman"/>
          <w:szCs w:val="28"/>
        </w:rPr>
      </w:pPr>
      <w:r w:rsidRPr="004B0EB7">
        <w:rPr>
          <w:rFonts w:ascii="Times New Roman" w:hAnsi="Times New Roman" w:cs="Times New Roman"/>
          <w:szCs w:val="28"/>
        </w:rPr>
        <w:t xml:space="preserve">Нет понимания, как скорректируется с 1 января 2023 г. нагрузка на бизнес в результате перехода от балансовой к кадастровой стоимости имущества. Необходимо обсудить конкретные параметры этой реформы. В случае существенного роста нагрузки </w:t>
      </w:r>
      <w:r w:rsidR="004B0EB7" w:rsidRPr="004B0EB7">
        <w:rPr>
          <w:rFonts w:ascii="Times New Roman" w:hAnsi="Times New Roman" w:cs="Times New Roman"/>
          <w:szCs w:val="28"/>
        </w:rPr>
        <w:t xml:space="preserve">необходимо снижение ставок </w:t>
      </w:r>
      <w:r w:rsidRPr="004B0EB7">
        <w:rPr>
          <w:rFonts w:ascii="Times New Roman" w:hAnsi="Times New Roman" w:cs="Times New Roman"/>
          <w:szCs w:val="28"/>
        </w:rPr>
        <w:t>налога.</w:t>
      </w:r>
    </w:p>
    <w:p w14:paraId="2ECD2733" w14:textId="77777777" w:rsidR="005715F5" w:rsidRPr="004B0EB7" w:rsidRDefault="000908D0" w:rsidP="00017AE5">
      <w:pPr>
        <w:pStyle w:val="a6"/>
        <w:spacing w:line="276" w:lineRule="auto"/>
        <w:ind w:left="20" w:firstLine="688"/>
        <w:rPr>
          <w:rFonts w:ascii="Times New Roman" w:hAnsi="Times New Roman" w:cs="Times New Roman"/>
          <w:szCs w:val="28"/>
        </w:rPr>
      </w:pPr>
      <w:r w:rsidRPr="004B0EB7">
        <w:rPr>
          <w:rFonts w:ascii="Times New Roman" w:hAnsi="Times New Roman" w:cs="Times New Roman"/>
          <w:szCs w:val="28"/>
        </w:rPr>
        <w:t>П</w:t>
      </w:r>
      <w:r w:rsidR="005715F5" w:rsidRPr="004B0EB7">
        <w:rPr>
          <w:rFonts w:ascii="Times New Roman" w:hAnsi="Times New Roman" w:cs="Times New Roman"/>
          <w:szCs w:val="28"/>
        </w:rPr>
        <w:t xml:space="preserve">роект бюджета </w:t>
      </w:r>
      <w:r w:rsidR="00017AE5" w:rsidRPr="004B0EB7">
        <w:rPr>
          <w:rFonts w:ascii="Times New Roman" w:hAnsi="Times New Roman" w:cs="Times New Roman"/>
          <w:szCs w:val="28"/>
        </w:rPr>
        <w:t>предусматривает</w:t>
      </w:r>
      <w:r w:rsidR="005715F5" w:rsidRPr="004B0EB7">
        <w:rPr>
          <w:rFonts w:ascii="Times New Roman" w:hAnsi="Times New Roman" w:cs="Times New Roman"/>
          <w:szCs w:val="28"/>
        </w:rPr>
        <w:t xml:space="preserve"> </w:t>
      </w:r>
      <w:r w:rsidR="00017AE5" w:rsidRPr="004B0EB7">
        <w:rPr>
          <w:rFonts w:ascii="Times New Roman" w:hAnsi="Times New Roman" w:cs="Times New Roman"/>
          <w:szCs w:val="28"/>
        </w:rPr>
        <w:t xml:space="preserve">изменение принципов расчета страховых платежей, что противоречит </w:t>
      </w:r>
      <w:r w:rsidR="00B73A36" w:rsidRPr="004B0EB7">
        <w:rPr>
          <w:rFonts w:ascii="Times New Roman" w:hAnsi="Times New Roman" w:cs="Times New Roman"/>
          <w:szCs w:val="28"/>
        </w:rPr>
        <w:t xml:space="preserve">ранее достигнутым </w:t>
      </w:r>
      <w:r w:rsidR="00017AE5" w:rsidRPr="004B0EB7">
        <w:rPr>
          <w:rFonts w:ascii="Times New Roman" w:hAnsi="Times New Roman" w:cs="Times New Roman"/>
          <w:szCs w:val="28"/>
        </w:rPr>
        <w:t>договорённостям. В результате прогнозируется существенный рост предельной величины базы для исчисления страховых взносов в 2023 году для всех видов обязательного социального страхо</w:t>
      </w:r>
      <w:r w:rsidR="00B73A36" w:rsidRPr="004B0EB7">
        <w:rPr>
          <w:rFonts w:ascii="Times New Roman" w:hAnsi="Times New Roman" w:cs="Times New Roman"/>
          <w:szCs w:val="28"/>
        </w:rPr>
        <w:t>вания – до уровня 1917 тыс. руб</w:t>
      </w:r>
      <w:r w:rsidR="00017AE5" w:rsidRPr="004B0EB7">
        <w:rPr>
          <w:rFonts w:ascii="Times New Roman" w:hAnsi="Times New Roman" w:cs="Times New Roman"/>
          <w:szCs w:val="28"/>
        </w:rPr>
        <w:t xml:space="preserve">. В ряде </w:t>
      </w:r>
      <w:r w:rsidR="00DB3B01" w:rsidRPr="004B0EB7">
        <w:rPr>
          <w:rFonts w:ascii="Times New Roman" w:hAnsi="Times New Roman" w:cs="Times New Roman"/>
          <w:szCs w:val="28"/>
        </w:rPr>
        <w:t>компаний</w:t>
      </w:r>
      <w:r w:rsidR="00017AE5" w:rsidRPr="004B0EB7">
        <w:rPr>
          <w:rFonts w:ascii="Times New Roman" w:hAnsi="Times New Roman" w:cs="Times New Roman"/>
          <w:szCs w:val="28"/>
        </w:rPr>
        <w:t xml:space="preserve"> </w:t>
      </w:r>
      <w:r w:rsidRPr="004B0EB7">
        <w:rPr>
          <w:rFonts w:ascii="Times New Roman" w:hAnsi="Times New Roman" w:cs="Times New Roman"/>
          <w:szCs w:val="28"/>
        </w:rPr>
        <w:t>платежи могут вырасти на 3-5 и более процентов.</w:t>
      </w:r>
      <w:r w:rsidR="00017AE5" w:rsidRPr="004B0EB7">
        <w:rPr>
          <w:rFonts w:ascii="Times New Roman" w:hAnsi="Times New Roman" w:cs="Times New Roman"/>
          <w:szCs w:val="28"/>
        </w:rPr>
        <w:t xml:space="preserve"> </w:t>
      </w:r>
      <w:r w:rsidRPr="004B0EB7">
        <w:rPr>
          <w:rFonts w:ascii="Times New Roman" w:hAnsi="Times New Roman" w:cs="Times New Roman"/>
          <w:szCs w:val="28"/>
        </w:rPr>
        <w:t>При этом</w:t>
      </w:r>
      <w:r w:rsidR="00B73A36" w:rsidRPr="004B0EB7">
        <w:rPr>
          <w:rFonts w:ascii="Times New Roman" w:hAnsi="Times New Roman" w:cs="Times New Roman"/>
          <w:szCs w:val="28"/>
        </w:rPr>
        <w:t xml:space="preserve"> данный</w:t>
      </w:r>
      <w:r w:rsidRPr="004B0EB7">
        <w:rPr>
          <w:rFonts w:ascii="Times New Roman" w:hAnsi="Times New Roman" w:cs="Times New Roman"/>
          <w:szCs w:val="28"/>
        </w:rPr>
        <w:t xml:space="preserve"> </w:t>
      </w:r>
      <w:r w:rsidR="005715F5" w:rsidRPr="004B0EB7">
        <w:rPr>
          <w:rFonts w:ascii="Times New Roman" w:hAnsi="Times New Roman" w:cs="Times New Roman"/>
          <w:szCs w:val="28"/>
        </w:rPr>
        <w:t xml:space="preserve">рост </w:t>
      </w:r>
      <w:r w:rsidR="00017AE5" w:rsidRPr="004B0EB7">
        <w:rPr>
          <w:rFonts w:ascii="Times New Roman" w:hAnsi="Times New Roman" w:cs="Times New Roman"/>
          <w:szCs w:val="28"/>
        </w:rPr>
        <w:t xml:space="preserve">нагрузки </w:t>
      </w:r>
      <w:r w:rsidR="005715F5" w:rsidRPr="004B0EB7">
        <w:rPr>
          <w:rFonts w:ascii="Times New Roman" w:hAnsi="Times New Roman" w:cs="Times New Roman"/>
          <w:szCs w:val="28"/>
        </w:rPr>
        <w:t>снизит налог на прибыль</w:t>
      </w:r>
      <w:r w:rsidR="00CE7DEC" w:rsidRPr="004B0EB7">
        <w:rPr>
          <w:rFonts w:ascii="Times New Roman" w:hAnsi="Times New Roman" w:cs="Times New Roman"/>
          <w:szCs w:val="28"/>
        </w:rPr>
        <w:t>, а, значит, и доходы регионов</w:t>
      </w:r>
      <w:r w:rsidR="00017AE5" w:rsidRPr="004B0EB7">
        <w:rPr>
          <w:rFonts w:ascii="Times New Roman" w:hAnsi="Times New Roman" w:cs="Times New Roman"/>
          <w:szCs w:val="28"/>
        </w:rPr>
        <w:t>.</w:t>
      </w:r>
    </w:p>
    <w:p w14:paraId="0F6596DD" w14:textId="77777777" w:rsidR="00017AE5" w:rsidRPr="004B0EB7" w:rsidRDefault="00017AE5" w:rsidP="00D5015F">
      <w:pPr>
        <w:spacing w:after="0"/>
        <w:ind w:left="20" w:firstLine="700"/>
        <w:rPr>
          <w:szCs w:val="28"/>
        </w:rPr>
      </w:pPr>
      <w:r w:rsidRPr="004B0EB7">
        <w:rPr>
          <w:rFonts w:cs="Times New Roman"/>
          <w:szCs w:val="28"/>
        </w:rPr>
        <w:t xml:space="preserve">Другие фискальные новации могут привести к </w:t>
      </w:r>
      <w:r w:rsidR="00254F7E" w:rsidRPr="004B0EB7">
        <w:rPr>
          <w:szCs w:val="28"/>
        </w:rPr>
        <w:t>рост</w:t>
      </w:r>
      <w:r w:rsidRPr="004B0EB7">
        <w:rPr>
          <w:szCs w:val="28"/>
        </w:rPr>
        <w:t>у</w:t>
      </w:r>
      <w:r w:rsidR="00254F7E" w:rsidRPr="004B0EB7">
        <w:rPr>
          <w:szCs w:val="28"/>
        </w:rPr>
        <w:t xml:space="preserve"> цен на отдельные товары</w:t>
      </w:r>
      <w:r w:rsidR="00CE7DEC" w:rsidRPr="004B0EB7">
        <w:rPr>
          <w:szCs w:val="28"/>
        </w:rPr>
        <w:t xml:space="preserve"> ТЭК</w:t>
      </w:r>
      <w:r w:rsidRPr="004B0EB7">
        <w:rPr>
          <w:szCs w:val="28"/>
        </w:rPr>
        <w:t xml:space="preserve">, </w:t>
      </w:r>
      <w:r w:rsidR="00CE7DEC" w:rsidRPr="004B0EB7">
        <w:rPr>
          <w:szCs w:val="28"/>
        </w:rPr>
        <w:t xml:space="preserve">например, повышение НДПИ на газ и уголь, </w:t>
      </w:r>
      <w:r w:rsidRPr="004B0EB7">
        <w:rPr>
          <w:szCs w:val="28"/>
        </w:rPr>
        <w:t>но</w:t>
      </w:r>
      <w:r w:rsidR="000908D0" w:rsidRPr="004B0EB7">
        <w:rPr>
          <w:szCs w:val="28"/>
        </w:rPr>
        <w:t xml:space="preserve"> у нас</w:t>
      </w:r>
      <w:r w:rsidR="00CE7DEC" w:rsidRPr="004B0EB7">
        <w:rPr>
          <w:szCs w:val="28"/>
        </w:rPr>
        <w:t xml:space="preserve"> нет уверенности</w:t>
      </w:r>
      <w:r w:rsidRPr="004B0EB7">
        <w:rPr>
          <w:szCs w:val="28"/>
        </w:rPr>
        <w:t>, что эти дополнительные затраты учтены в бюджетных расходах.</w:t>
      </w:r>
      <w:r w:rsidR="00CE7DEC" w:rsidRPr="004B0EB7">
        <w:rPr>
          <w:szCs w:val="28"/>
        </w:rPr>
        <w:t xml:space="preserve"> </w:t>
      </w:r>
      <w:r w:rsidR="004B0EB7" w:rsidRPr="004B0EB7">
        <w:rPr>
          <w:szCs w:val="28"/>
        </w:rPr>
        <w:t xml:space="preserve">В результате соответствующего роста расходов </w:t>
      </w:r>
      <w:r w:rsidR="00CE7DEC" w:rsidRPr="004B0EB7">
        <w:rPr>
          <w:szCs w:val="28"/>
        </w:rPr>
        <w:t xml:space="preserve">промышленных потребителей газа </w:t>
      </w:r>
      <w:r w:rsidR="004B0EB7" w:rsidRPr="004B0EB7">
        <w:rPr>
          <w:szCs w:val="28"/>
        </w:rPr>
        <w:t>и снижения их экономических показателей возникает</w:t>
      </w:r>
      <w:r w:rsidR="008A0DBA" w:rsidRPr="004B0EB7">
        <w:rPr>
          <w:szCs w:val="28"/>
        </w:rPr>
        <w:t xml:space="preserve"> риск</w:t>
      </w:r>
      <w:r w:rsidR="004B0EB7" w:rsidRPr="004B0EB7">
        <w:rPr>
          <w:szCs w:val="28"/>
        </w:rPr>
        <w:t xml:space="preserve"> того</w:t>
      </w:r>
      <w:r w:rsidR="008A0DBA" w:rsidRPr="004B0EB7">
        <w:rPr>
          <w:szCs w:val="28"/>
        </w:rPr>
        <w:t xml:space="preserve">, что доходы бюджета </w:t>
      </w:r>
      <w:r w:rsidR="00027AE1" w:rsidRPr="004B0EB7">
        <w:rPr>
          <w:szCs w:val="28"/>
        </w:rPr>
        <w:t>от потребителей</w:t>
      </w:r>
      <w:r w:rsidR="008A0DBA" w:rsidRPr="004B0EB7">
        <w:rPr>
          <w:szCs w:val="28"/>
        </w:rPr>
        <w:t xml:space="preserve"> </w:t>
      </w:r>
      <w:r w:rsidR="00DB3B01" w:rsidRPr="004B0EB7">
        <w:rPr>
          <w:szCs w:val="28"/>
        </w:rPr>
        <w:t xml:space="preserve">продукции ТЭК </w:t>
      </w:r>
      <w:r w:rsidR="008A0DBA" w:rsidRPr="004B0EB7">
        <w:rPr>
          <w:szCs w:val="28"/>
        </w:rPr>
        <w:t>переоценены</w:t>
      </w:r>
      <w:r w:rsidR="00CE7DEC" w:rsidRPr="004B0EB7">
        <w:rPr>
          <w:szCs w:val="28"/>
        </w:rPr>
        <w:t>.</w:t>
      </w:r>
    </w:p>
    <w:p w14:paraId="47594CC3" w14:textId="77777777" w:rsidR="00CE7DEC" w:rsidRPr="004374F2" w:rsidRDefault="00CE7DEC" w:rsidP="00E57EDB">
      <w:pPr>
        <w:pStyle w:val="a6"/>
        <w:numPr>
          <w:ilvl w:val="0"/>
          <w:numId w:val="3"/>
        </w:numPr>
        <w:spacing w:line="276" w:lineRule="auto"/>
        <w:ind w:left="20" w:firstLine="700"/>
        <w:rPr>
          <w:rFonts w:ascii="Times New Roman" w:hAnsi="Times New Roman" w:cs="Times New Roman"/>
          <w:b/>
          <w:szCs w:val="28"/>
        </w:rPr>
      </w:pPr>
      <w:r w:rsidRPr="004374F2">
        <w:rPr>
          <w:rFonts w:ascii="Times New Roman" w:hAnsi="Times New Roman" w:cs="Times New Roman"/>
          <w:b/>
          <w:szCs w:val="28"/>
        </w:rPr>
        <w:t>Системный учет новых реалий.</w:t>
      </w:r>
    </w:p>
    <w:p w14:paraId="47E2C2AF" w14:textId="77777777" w:rsidR="00254F7E" w:rsidRPr="004B0EB7" w:rsidRDefault="00CE7DEC" w:rsidP="00D5015F">
      <w:pPr>
        <w:spacing w:after="0"/>
        <w:ind w:firstLine="708"/>
        <w:rPr>
          <w:szCs w:val="28"/>
        </w:rPr>
      </w:pPr>
      <w:r w:rsidRPr="004B0EB7">
        <w:rPr>
          <w:szCs w:val="28"/>
        </w:rPr>
        <w:t xml:space="preserve">Снижены расходы </w:t>
      </w:r>
      <w:r w:rsidR="007E13AA" w:rsidRPr="004B0EB7">
        <w:rPr>
          <w:szCs w:val="28"/>
        </w:rPr>
        <w:t>по нацпроекту «Международная кооперация и экспорт»</w:t>
      </w:r>
      <w:r w:rsidR="00254F7E" w:rsidRPr="004B0EB7">
        <w:rPr>
          <w:szCs w:val="28"/>
        </w:rPr>
        <w:t xml:space="preserve">, </w:t>
      </w:r>
      <w:r w:rsidRPr="004B0EB7">
        <w:rPr>
          <w:szCs w:val="28"/>
        </w:rPr>
        <w:t xml:space="preserve">но </w:t>
      </w:r>
      <w:r w:rsidR="000D7DBD" w:rsidRPr="004B0EB7">
        <w:rPr>
          <w:szCs w:val="28"/>
        </w:rPr>
        <w:t>выход на новые рынки</w:t>
      </w:r>
      <w:r w:rsidRPr="004B0EB7">
        <w:rPr>
          <w:szCs w:val="28"/>
        </w:rPr>
        <w:t>, наоборот,</w:t>
      </w:r>
      <w:r w:rsidR="000D7DBD" w:rsidRPr="004B0EB7">
        <w:rPr>
          <w:szCs w:val="28"/>
        </w:rPr>
        <w:t xml:space="preserve"> требует дополнительной поддержки компаний</w:t>
      </w:r>
      <w:r w:rsidR="007E13AA" w:rsidRPr="004B0EB7">
        <w:rPr>
          <w:szCs w:val="28"/>
        </w:rPr>
        <w:t>.</w:t>
      </w:r>
    </w:p>
    <w:p w14:paraId="6153985A" w14:textId="77777777" w:rsidR="00E57EDB" w:rsidRPr="004B0EB7" w:rsidRDefault="00E57EDB" w:rsidP="00D5015F">
      <w:pPr>
        <w:spacing w:after="0"/>
        <w:ind w:firstLine="708"/>
        <w:rPr>
          <w:szCs w:val="28"/>
        </w:rPr>
      </w:pPr>
      <w:r w:rsidRPr="004B0EB7">
        <w:rPr>
          <w:szCs w:val="28"/>
        </w:rPr>
        <w:t xml:space="preserve">С 1 января 2023 г. вводятся ограничения, предусматривающие что компании, в капитале которых участвуют юридические лица из иностранных офшорных юрисдикций (причем в этом списке есть и дружественные юрисдикции, например ОАЭ), лишаются права получать государственную поддержку в виде субсидий и льготных кредитов. Многие компании не смогли завершить непростой процесс возврата в российскую юрисдикцию </w:t>
      </w:r>
      <w:r w:rsidR="00027AE1" w:rsidRPr="004B0EB7">
        <w:rPr>
          <w:szCs w:val="28"/>
        </w:rPr>
        <w:t>из-за</w:t>
      </w:r>
      <w:r w:rsidRPr="004B0EB7">
        <w:rPr>
          <w:szCs w:val="28"/>
        </w:rPr>
        <w:t xml:space="preserve"> санкций. Считаем важным </w:t>
      </w:r>
      <w:r w:rsidR="00B73A36" w:rsidRPr="004B0EB7">
        <w:rPr>
          <w:szCs w:val="28"/>
        </w:rPr>
        <w:t>сохранить доступ к поддержке для таких компаний</w:t>
      </w:r>
      <w:r w:rsidRPr="004B0EB7">
        <w:rPr>
          <w:szCs w:val="28"/>
        </w:rPr>
        <w:t>.</w:t>
      </w:r>
    </w:p>
    <w:p w14:paraId="5F089A4C" w14:textId="77777777" w:rsidR="00E57EDB" w:rsidRPr="004374F2" w:rsidRDefault="00E57EDB" w:rsidP="00E57EDB">
      <w:pPr>
        <w:pStyle w:val="a6"/>
        <w:numPr>
          <w:ilvl w:val="0"/>
          <w:numId w:val="3"/>
        </w:numPr>
        <w:spacing w:line="276" w:lineRule="auto"/>
        <w:ind w:left="20" w:firstLine="700"/>
        <w:rPr>
          <w:rFonts w:ascii="Times New Roman" w:hAnsi="Times New Roman" w:cs="Times New Roman"/>
          <w:b/>
          <w:szCs w:val="28"/>
        </w:rPr>
      </w:pPr>
      <w:r w:rsidRPr="004374F2">
        <w:rPr>
          <w:rFonts w:ascii="Times New Roman" w:hAnsi="Times New Roman" w:cs="Times New Roman"/>
          <w:b/>
          <w:szCs w:val="28"/>
        </w:rPr>
        <w:t xml:space="preserve">Обеспечение условий для устойчивой работы и реализации </w:t>
      </w:r>
      <w:proofErr w:type="spellStart"/>
      <w:r w:rsidRPr="004374F2">
        <w:rPr>
          <w:rFonts w:ascii="Times New Roman" w:hAnsi="Times New Roman" w:cs="Times New Roman"/>
          <w:b/>
          <w:szCs w:val="28"/>
        </w:rPr>
        <w:t>инвестпроектов</w:t>
      </w:r>
      <w:proofErr w:type="spellEnd"/>
      <w:r w:rsidRPr="004374F2">
        <w:rPr>
          <w:rFonts w:ascii="Times New Roman" w:hAnsi="Times New Roman" w:cs="Times New Roman"/>
          <w:b/>
          <w:szCs w:val="28"/>
        </w:rPr>
        <w:t xml:space="preserve"> бизнесом</w:t>
      </w:r>
    </w:p>
    <w:p w14:paraId="68143B23" w14:textId="77777777" w:rsidR="00D5015F" w:rsidRPr="004B0EB7" w:rsidRDefault="00E57EDB" w:rsidP="00D5015F">
      <w:pPr>
        <w:spacing w:after="0"/>
        <w:ind w:firstLine="708"/>
        <w:rPr>
          <w:szCs w:val="28"/>
        </w:rPr>
      </w:pPr>
      <w:r w:rsidRPr="004B0EB7">
        <w:rPr>
          <w:szCs w:val="28"/>
        </w:rPr>
        <w:t xml:space="preserve">Важно </w:t>
      </w:r>
      <w:r w:rsidR="00027AE1" w:rsidRPr="004B0EB7">
        <w:rPr>
          <w:szCs w:val="28"/>
        </w:rPr>
        <w:t xml:space="preserve">содействовать </w:t>
      </w:r>
      <w:r w:rsidRPr="004B0EB7">
        <w:rPr>
          <w:szCs w:val="28"/>
        </w:rPr>
        <w:t>применени</w:t>
      </w:r>
      <w:r w:rsidR="00027AE1" w:rsidRPr="004B0EB7">
        <w:rPr>
          <w:szCs w:val="28"/>
        </w:rPr>
        <w:t>ю</w:t>
      </w:r>
      <w:r w:rsidRPr="004B0EB7">
        <w:rPr>
          <w:szCs w:val="28"/>
        </w:rPr>
        <w:t xml:space="preserve"> инвестиционных инструментов, в частности, пр</w:t>
      </w:r>
      <w:r w:rsidR="00D5015F" w:rsidRPr="004B0EB7">
        <w:rPr>
          <w:szCs w:val="28"/>
        </w:rPr>
        <w:t xml:space="preserve">едусмотреть в проекте федерального бюджета дотации бюджетам </w:t>
      </w:r>
      <w:r w:rsidR="00D5015F" w:rsidRPr="004B0EB7">
        <w:rPr>
          <w:szCs w:val="28"/>
        </w:rPr>
        <w:lastRenderedPageBreak/>
        <w:t xml:space="preserve">субъектов </w:t>
      </w:r>
      <w:r w:rsidR="001267FA" w:rsidRPr="004B0EB7">
        <w:rPr>
          <w:szCs w:val="28"/>
        </w:rPr>
        <w:t>РФ</w:t>
      </w:r>
      <w:r w:rsidR="00D5015F" w:rsidRPr="004B0EB7">
        <w:rPr>
          <w:szCs w:val="28"/>
        </w:rPr>
        <w:t xml:space="preserve"> в целях частичной компенсации </w:t>
      </w:r>
      <w:r w:rsidR="001267FA" w:rsidRPr="004B0EB7">
        <w:rPr>
          <w:szCs w:val="28"/>
        </w:rPr>
        <w:t xml:space="preserve">их </w:t>
      </w:r>
      <w:r w:rsidR="00D5015F" w:rsidRPr="004B0EB7">
        <w:rPr>
          <w:szCs w:val="28"/>
        </w:rPr>
        <w:t>выпадающих доходов от применения инвестиционного налогового вычета.</w:t>
      </w:r>
    </w:p>
    <w:p w14:paraId="6B2D8C46" w14:textId="77777777" w:rsidR="003B65B0" w:rsidRPr="004B0EB7" w:rsidRDefault="00E57EDB" w:rsidP="00D5015F">
      <w:pPr>
        <w:spacing w:after="0"/>
        <w:ind w:firstLine="708"/>
        <w:rPr>
          <w:szCs w:val="28"/>
        </w:rPr>
      </w:pPr>
      <w:r w:rsidRPr="004B0EB7">
        <w:rPr>
          <w:szCs w:val="28"/>
        </w:rPr>
        <w:t>Предлагаем р</w:t>
      </w:r>
      <w:r w:rsidR="003B65B0" w:rsidRPr="004B0EB7">
        <w:rPr>
          <w:szCs w:val="28"/>
        </w:rPr>
        <w:t>ассмотреть возможность отказа от продления ограничения на 50% лимита переноса убытка прошлых лет до 2030 года, учитывая, что данная норма вводилась как временная.</w:t>
      </w:r>
    </w:p>
    <w:p w14:paraId="4D6B3C1C" w14:textId="77777777" w:rsidR="003B65B0" w:rsidRPr="004B0EB7" w:rsidRDefault="007349B9" w:rsidP="00D5015F">
      <w:pPr>
        <w:spacing w:after="0"/>
        <w:ind w:firstLine="708"/>
        <w:rPr>
          <w:szCs w:val="28"/>
        </w:rPr>
      </w:pPr>
      <w:r>
        <w:rPr>
          <w:szCs w:val="28"/>
        </w:rPr>
        <w:t xml:space="preserve">Бизнес обеспокоен высоким уровнем неопределенности, связанным с отменой </w:t>
      </w:r>
      <w:r w:rsidR="003B65B0" w:rsidRPr="004B0EB7">
        <w:rPr>
          <w:szCs w:val="28"/>
        </w:rPr>
        <w:t>КГН</w:t>
      </w:r>
      <w:r w:rsidR="00E57EDB" w:rsidRPr="004B0EB7">
        <w:rPr>
          <w:szCs w:val="28"/>
        </w:rPr>
        <w:t xml:space="preserve">. </w:t>
      </w:r>
      <w:r>
        <w:rPr>
          <w:szCs w:val="28"/>
        </w:rPr>
        <w:t xml:space="preserve">Во-первых, это </w:t>
      </w:r>
      <w:r w:rsidR="00E57EDB" w:rsidRPr="004B0EB7">
        <w:rPr>
          <w:szCs w:val="28"/>
        </w:rPr>
        <w:t>приведет к сокращению</w:t>
      </w:r>
      <w:r w:rsidR="003B65B0" w:rsidRPr="004B0EB7">
        <w:rPr>
          <w:szCs w:val="28"/>
        </w:rPr>
        <w:t xml:space="preserve"> доходов </w:t>
      </w:r>
      <w:r w:rsidR="00E57EDB" w:rsidRPr="004B0EB7">
        <w:rPr>
          <w:szCs w:val="28"/>
        </w:rPr>
        <w:t xml:space="preserve">у многих </w:t>
      </w:r>
      <w:r w:rsidR="003B65B0" w:rsidRPr="004B0EB7">
        <w:rPr>
          <w:szCs w:val="28"/>
        </w:rPr>
        <w:t>промышленных регионов</w:t>
      </w:r>
      <w:r w:rsidR="00E57EDB" w:rsidRPr="004B0EB7">
        <w:rPr>
          <w:szCs w:val="28"/>
        </w:rPr>
        <w:t xml:space="preserve">. </w:t>
      </w:r>
      <w:r>
        <w:rPr>
          <w:szCs w:val="28"/>
        </w:rPr>
        <w:t>Во-вторых, у компаний</w:t>
      </w:r>
      <w:r w:rsidR="00E57EDB" w:rsidRPr="004B0EB7">
        <w:rPr>
          <w:szCs w:val="28"/>
        </w:rPr>
        <w:t xml:space="preserve"> сформировался длинный перечень вопросов, связанных с прекращением КГН, который </w:t>
      </w:r>
      <w:r w:rsidR="00541439">
        <w:rPr>
          <w:szCs w:val="28"/>
        </w:rPr>
        <w:t xml:space="preserve">в настоящее время </w:t>
      </w:r>
      <w:r w:rsidR="005B0861">
        <w:rPr>
          <w:szCs w:val="28"/>
        </w:rPr>
        <w:t>обсуждается с ФНС России.</w:t>
      </w:r>
    </w:p>
    <w:p w14:paraId="25EDE08E" w14:textId="77777777" w:rsidR="004374F2" w:rsidRDefault="004374F2" w:rsidP="00D5015F">
      <w:pPr>
        <w:spacing w:after="0"/>
        <w:ind w:firstLine="708"/>
        <w:rPr>
          <w:szCs w:val="28"/>
        </w:rPr>
      </w:pPr>
    </w:p>
    <w:p w14:paraId="31CC6E05" w14:textId="77777777" w:rsidR="004374F2" w:rsidRDefault="004374F2" w:rsidP="004374F2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условиях высокой нестабильности в экономической обстановке и изложенных аргументов выше </w:t>
      </w:r>
      <w:r w:rsidR="00541439">
        <w:rPr>
          <w:rFonts w:cs="Times New Roman"/>
          <w:szCs w:val="28"/>
        </w:rPr>
        <w:t>предлагаем</w:t>
      </w:r>
      <w:r>
        <w:rPr>
          <w:rFonts w:cs="Times New Roman"/>
          <w:szCs w:val="28"/>
        </w:rPr>
        <w:t>:</w:t>
      </w:r>
    </w:p>
    <w:p w14:paraId="0AA585C5" w14:textId="77777777" w:rsidR="004374F2" w:rsidRDefault="004374F2" w:rsidP="004374F2">
      <w:pPr>
        <w:pStyle w:val="a8"/>
        <w:numPr>
          <w:ilvl w:val="0"/>
          <w:numId w:val="6"/>
        </w:numPr>
        <w:spacing w:before="120" w:after="120" w:line="276" w:lineRule="auto"/>
        <w:ind w:left="0" w:firstLine="709"/>
        <w:jc w:val="both"/>
      </w:pPr>
      <w:r>
        <w:t xml:space="preserve">Провести предварительное обсуждение всех инициатив по увеличению фискальной нагрузки на предпринимателей и производителей, которые еще не вышли в публичную плоскость до их внесения в Государственную Думу </w:t>
      </w:r>
      <w:r w:rsidR="00541439">
        <w:t xml:space="preserve">ФС РФ </w:t>
      </w:r>
      <w:r>
        <w:t>на базе РСПП</w:t>
      </w:r>
      <w:r w:rsidR="00541439">
        <w:t xml:space="preserve"> и других ведущих деловых объединений</w:t>
      </w:r>
      <w:r>
        <w:t>.</w:t>
      </w:r>
    </w:p>
    <w:p w14:paraId="0B0982C7" w14:textId="77777777" w:rsidR="004374F2" w:rsidRDefault="004374F2" w:rsidP="004374F2">
      <w:pPr>
        <w:pStyle w:val="a8"/>
        <w:numPr>
          <w:ilvl w:val="0"/>
          <w:numId w:val="6"/>
        </w:numPr>
        <w:spacing w:before="120" w:after="120" w:line="276" w:lineRule="auto"/>
        <w:ind w:left="0" w:firstLine="709"/>
        <w:jc w:val="both"/>
      </w:pPr>
      <w:r>
        <w:t>Не вносить изменений в правила расчета предельной базы для взносов во внебюджетные фонды для 2023 года с учетом роста бремени в рамках объединения Пенсионного фонда и Фонда социального страхования,</w:t>
      </w:r>
    </w:p>
    <w:p w14:paraId="06EAC637" w14:textId="77777777" w:rsidR="004374F2" w:rsidRPr="00541439" w:rsidRDefault="004374F2" w:rsidP="00541439">
      <w:pPr>
        <w:pStyle w:val="a8"/>
        <w:numPr>
          <w:ilvl w:val="0"/>
          <w:numId w:val="6"/>
        </w:numPr>
        <w:spacing w:before="120" w:after="120" w:line="276" w:lineRule="auto"/>
        <w:ind w:left="0" w:firstLine="709"/>
        <w:jc w:val="both"/>
      </w:pPr>
      <w:r>
        <w:t>Отложить полный переход на кадастровую стоимость для целей определения базы по налогу на имущество до 2025 года в виду слабой проработанности вопроса.</w:t>
      </w:r>
    </w:p>
    <w:sectPr w:rsidR="004374F2" w:rsidRPr="00541439" w:rsidSect="003A44EE">
      <w:headerReference w:type="default" r:id="rId7"/>
      <w:pgSz w:w="11906" w:h="16838"/>
      <w:pgMar w:top="1134" w:right="1191" w:bottom="851" w:left="119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DD5A2" w14:textId="77777777" w:rsidR="0065077B" w:rsidRDefault="0065077B" w:rsidP="001267FA">
      <w:pPr>
        <w:spacing w:after="0" w:line="240" w:lineRule="auto"/>
      </w:pPr>
      <w:r>
        <w:separator/>
      </w:r>
    </w:p>
  </w:endnote>
  <w:endnote w:type="continuationSeparator" w:id="0">
    <w:p w14:paraId="5160A80A" w14:textId="77777777" w:rsidR="0065077B" w:rsidRDefault="0065077B" w:rsidP="0012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0C820" w14:textId="77777777" w:rsidR="0065077B" w:rsidRDefault="0065077B" w:rsidP="001267FA">
      <w:pPr>
        <w:spacing w:after="0" w:line="240" w:lineRule="auto"/>
      </w:pPr>
      <w:r>
        <w:separator/>
      </w:r>
    </w:p>
  </w:footnote>
  <w:footnote w:type="continuationSeparator" w:id="0">
    <w:p w14:paraId="4DFD098B" w14:textId="77777777" w:rsidR="0065077B" w:rsidRDefault="0065077B" w:rsidP="0012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9987046"/>
      <w:docPartObj>
        <w:docPartGallery w:val="Page Numbers (Top of Page)"/>
        <w:docPartUnique/>
      </w:docPartObj>
    </w:sdtPr>
    <w:sdtEndPr/>
    <w:sdtContent>
      <w:p w14:paraId="65BD60E8" w14:textId="77777777" w:rsidR="001267FA" w:rsidRDefault="001267FA" w:rsidP="001267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8B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00FC"/>
    <w:multiLevelType w:val="hybridMultilevel"/>
    <w:tmpl w:val="963852E4"/>
    <w:lvl w:ilvl="0" w:tplc="3B9C1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3608A"/>
    <w:multiLevelType w:val="hybridMultilevel"/>
    <w:tmpl w:val="DB1E8B96"/>
    <w:lvl w:ilvl="0" w:tplc="D026F8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331E40"/>
    <w:multiLevelType w:val="hybridMultilevel"/>
    <w:tmpl w:val="DAE8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37F35"/>
    <w:multiLevelType w:val="hybridMultilevel"/>
    <w:tmpl w:val="FE42CAE4"/>
    <w:lvl w:ilvl="0" w:tplc="048E33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F16509"/>
    <w:multiLevelType w:val="hybridMultilevel"/>
    <w:tmpl w:val="C5BAF1AA"/>
    <w:lvl w:ilvl="0" w:tplc="DC9E3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EF1FB1"/>
    <w:multiLevelType w:val="hybridMultilevel"/>
    <w:tmpl w:val="259635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40"/>
    <w:rsid w:val="00017AC0"/>
    <w:rsid w:val="00017AE5"/>
    <w:rsid w:val="00027AE1"/>
    <w:rsid w:val="00056225"/>
    <w:rsid w:val="00081D83"/>
    <w:rsid w:val="000908D0"/>
    <w:rsid w:val="000A4257"/>
    <w:rsid w:val="000B32B1"/>
    <w:rsid w:val="000D7DBD"/>
    <w:rsid w:val="001064D4"/>
    <w:rsid w:val="00107BEB"/>
    <w:rsid w:val="001150F7"/>
    <w:rsid w:val="001267FA"/>
    <w:rsid w:val="00134EF5"/>
    <w:rsid w:val="001578BC"/>
    <w:rsid w:val="00164E5D"/>
    <w:rsid w:val="00182491"/>
    <w:rsid w:val="001843F3"/>
    <w:rsid w:val="001A0BFD"/>
    <w:rsid w:val="00207F57"/>
    <w:rsid w:val="00235474"/>
    <w:rsid w:val="00254F7E"/>
    <w:rsid w:val="002561F1"/>
    <w:rsid w:val="0029743D"/>
    <w:rsid w:val="002A3E5A"/>
    <w:rsid w:val="00311558"/>
    <w:rsid w:val="00342829"/>
    <w:rsid w:val="003A2533"/>
    <w:rsid w:val="003A3C72"/>
    <w:rsid w:val="003A44EE"/>
    <w:rsid w:val="003B01E3"/>
    <w:rsid w:val="003B21BA"/>
    <w:rsid w:val="003B65B0"/>
    <w:rsid w:val="003C40B8"/>
    <w:rsid w:val="003D1FED"/>
    <w:rsid w:val="003F6C83"/>
    <w:rsid w:val="004374F2"/>
    <w:rsid w:val="00450B2B"/>
    <w:rsid w:val="0046232C"/>
    <w:rsid w:val="004757FC"/>
    <w:rsid w:val="004819BA"/>
    <w:rsid w:val="004B0EB7"/>
    <w:rsid w:val="004C50FB"/>
    <w:rsid w:val="00541439"/>
    <w:rsid w:val="005715F5"/>
    <w:rsid w:val="0058234A"/>
    <w:rsid w:val="00597EDD"/>
    <w:rsid w:val="005B0861"/>
    <w:rsid w:val="005F34AF"/>
    <w:rsid w:val="005F6D75"/>
    <w:rsid w:val="00642536"/>
    <w:rsid w:val="0065077B"/>
    <w:rsid w:val="00684FE4"/>
    <w:rsid w:val="00686F17"/>
    <w:rsid w:val="0069116E"/>
    <w:rsid w:val="006B5853"/>
    <w:rsid w:val="006C1387"/>
    <w:rsid w:val="006C2E23"/>
    <w:rsid w:val="006E2790"/>
    <w:rsid w:val="00711A23"/>
    <w:rsid w:val="00722737"/>
    <w:rsid w:val="007349B9"/>
    <w:rsid w:val="007B4CB2"/>
    <w:rsid w:val="007B6B50"/>
    <w:rsid w:val="007D2071"/>
    <w:rsid w:val="007E13AA"/>
    <w:rsid w:val="00845521"/>
    <w:rsid w:val="0089693E"/>
    <w:rsid w:val="008A0DBA"/>
    <w:rsid w:val="008F47C5"/>
    <w:rsid w:val="008F58B1"/>
    <w:rsid w:val="009034C2"/>
    <w:rsid w:val="00952021"/>
    <w:rsid w:val="009526BA"/>
    <w:rsid w:val="00970870"/>
    <w:rsid w:val="00997B7B"/>
    <w:rsid w:val="009D56B9"/>
    <w:rsid w:val="00A27207"/>
    <w:rsid w:val="00A97DBC"/>
    <w:rsid w:val="00AC0940"/>
    <w:rsid w:val="00AC634E"/>
    <w:rsid w:val="00AE5677"/>
    <w:rsid w:val="00B135DE"/>
    <w:rsid w:val="00B15E2E"/>
    <w:rsid w:val="00B34178"/>
    <w:rsid w:val="00B34869"/>
    <w:rsid w:val="00B34DE0"/>
    <w:rsid w:val="00B46E63"/>
    <w:rsid w:val="00B56D41"/>
    <w:rsid w:val="00B60929"/>
    <w:rsid w:val="00B73A36"/>
    <w:rsid w:val="00B86C11"/>
    <w:rsid w:val="00BE6E21"/>
    <w:rsid w:val="00C001A5"/>
    <w:rsid w:val="00C334F0"/>
    <w:rsid w:val="00C63578"/>
    <w:rsid w:val="00C65915"/>
    <w:rsid w:val="00CA1DE5"/>
    <w:rsid w:val="00CB5C78"/>
    <w:rsid w:val="00CC7B18"/>
    <w:rsid w:val="00CD7D70"/>
    <w:rsid w:val="00CE7DEC"/>
    <w:rsid w:val="00D03DF8"/>
    <w:rsid w:val="00D40C48"/>
    <w:rsid w:val="00D5015F"/>
    <w:rsid w:val="00D80190"/>
    <w:rsid w:val="00DB3B01"/>
    <w:rsid w:val="00DC6D59"/>
    <w:rsid w:val="00E2416B"/>
    <w:rsid w:val="00E43FD1"/>
    <w:rsid w:val="00E514B6"/>
    <w:rsid w:val="00E57EDB"/>
    <w:rsid w:val="00E73C9C"/>
    <w:rsid w:val="00E8646F"/>
    <w:rsid w:val="00F11158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0D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72"/>
    <w:pPr>
      <w:spacing w:after="120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"/>
    <w:next w:val="a"/>
    <w:uiPriority w:val="1"/>
    <w:qFormat/>
    <w:rsid w:val="00E73C9C"/>
    <w:pPr>
      <w:spacing w:after="120"/>
      <w:ind w:firstLine="709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6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929"/>
    <w:rPr>
      <w:rFonts w:ascii="Tahoma" w:eastAsiaTheme="minorHAnsi" w:hAnsi="Tahoma" w:cs="Tahoma"/>
      <w:sz w:val="16"/>
      <w:szCs w:val="16"/>
    </w:rPr>
  </w:style>
  <w:style w:type="character" w:customStyle="1" w:styleId="Heading2">
    <w:name w:val="Heading #2_"/>
    <w:link w:val="Heading20"/>
    <w:rsid w:val="00CB5C78"/>
    <w:rPr>
      <w:rFonts w:ascii="Sylfaen" w:eastAsia="Sylfaen" w:hAnsi="Sylfaen" w:cs="Sylfaen"/>
      <w:sz w:val="29"/>
      <w:szCs w:val="29"/>
      <w:shd w:val="clear" w:color="auto" w:fill="FFFFFF"/>
    </w:rPr>
  </w:style>
  <w:style w:type="paragraph" w:customStyle="1" w:styleId="Heading20">
    <w:name w:val="Heading #2"/>
    <w:basedOn w:val="a"/>
    <w:link w:val="Heading2"/>
    <w:rsid w:val="00CB5C78"/>
    <w:pPr>
      <w:shd w:val="clear" w:color="auto" w:fill="FFFFFF"/>
      <w:spacing w:before="540" w:after="540" w:line="0" w:lineRule="atLeast"/>
      <w:ind w:hanging="1600"/>
      <w:outlineLvl w:val="1"/>
    </w:pPr>
    <w:rPr>
      <w:rFonts w:ascii="Sylfaen" w:eastAsia="Sylfaen" w:hAnsi="Sylfaen" w:cs="Sylfaen"/>
      <w:sz w:val="29"/>
      <w:szCs w:val="29"/>
    </w:rPr>
  </w:style>
  <w:style w:type="character" w:customStyle="1" w:styleId="1">
    <w:name w:val="Основной текст Знак1"/>
    <w:aliases w:val="bt Знак,bt Знак Знак Знак"/>
    <w:link w:val="a6"/>
    <w:semiHidden/>
    <w:locked/>
    <w:rsid w:val="00952021"/>
    <w:rPr>
      <w:sz w:val="28"/>
    </w:rPr>
  </w:style>
  <w:style w:type="paragraph" w:styleId="a6">
    <w:name w:val="Body Text"/>
    <w:aliases w:val="bt,bt Знак Знак"/>
    <w:basedOn w:val="a"/>
    <w:link w:val="1"/>
    <w:semiHidden/>
    <w:unhideWhenUsed/>
    <w:rsid w:val="00952021"/>
    <w:pPr>
      <w:spacing w:after="0" w:line="240" w:lineRule="auto"/>
      <w:ind w:firstLine="0"/>
    </w:pPr>
    <w:rPr>
      <w:rFonts w:asciiTheme="minorHAnsi" w:eastAsia="Times New Roman" w:hAnsiTheme="minorHAnsi"/>
    </w:rPr>
  </w:style>
  <w:style w:type="character" w:customStyle="1" w:styleId="a7">
    <w:name w:val="Основной текст Знак"/>
    <w:basedOn w:val="a0"/>
    <w:uiPriority w:val="99"/>
    <w:semiHidden/>
    <w:rsid w:val="00952021"/>
    <w:rPr>
      <w:rFonts w:ascii="Times New Roman" w:eastAsiaTheme="minorHAnsi" w:hAnsi="Times New Roman"/>
      <w:sz w:val="28"/>
    </w:rPr>
  </w:style>
  <w:style w:type="paragraph" w:styleId="a8">
    <w:name w:val="List Paragraph"/>
    <w:basedOn w:val="a"/>
    <w:uiPriority w:val="34"/>
    <w:qFormat/>
    <w:rsid w:val="007E13AA"/>
    <w:pPr>
      <w:spacing w:after="0" w:line="240" w:lineRule="auto"/>
      <w:ind w:left="720" w:firstLine="0"/>
      <w:contextualSpacing/>
      <w:jc w:val="left"/>
    </w:pPr>
    <w:rPr>
      <w:rFonts w:cs="Times New Roman"/>
      <w:szCs w:val="28"/>
    </w:rPr>
  </w:style>
  <w:style w:type="paragraph" w:styleId="a9">
    <w:name w:val="header"/>
    <w:basedOn w:val="a"/>
    <w:link w:val="aa"/>
    <w:uiPriority w:val="99"/>
    <w:unhideWhenUsed/>
    <w:rsid w:val="0012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67FA"/>
    <w:rPr>
      <w:rFonts w:ascii="Times New Roman" w:eastAsiaTheme="minorHAnsi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12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67FA"/>
    <w:rPr>
      <w:rFonts w:ascii="Times New Roman" w:eastAsiaTheme="minorHAnsi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1148</Words>
  <Characters>7165</Characters>
  <Application>Microsoft Macintosh Word</Application>
  <DocSecurity>0</DocSecurity>
  <Lines>551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Mikhail Lebedev</cp:lastModifiedBy>
  <cp:revision>2</cp:revision>
  <dcterms:created xsi:type="dcterms:W3CDTF">2022-11-08T18:19:00Z</dcterms:created>
  <dcterms:modified xsi:type="dcterms:W3CDTF">2022-11-08T18:19:00Z</dcterms:modified>
</cp:coreProperties>
</file>