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2E" w:rsidRDefault="007B212E" w:rsidP="00396AD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7B212E">
        <w:rPr>
          <w:rFonts w:ascii="Times New Roman" w:hAnsi="Times New Roman" w:cs="Times New Roman"/>
          <w:b/>
          <w:i w:val="0"/>
          <w:color w:val="auto"/>
        </w:rPr>
        <w:t>Предложения Совета РСПП по не</w:t>
      </w:r>
      <w:bookmarkStart w:id="0" w:name="_GoBack"/>
      <w:bookmarkEnd w:id="0"/>
      <w:r w:rsidRPr="007B212E">
        <w:rPr>
          <w:rFonts w:ascii="Times New Roman" w:hAnsi="Times New Roman" w:cs="Times New Roman"/>
          <w:b/>
          <w:i w:val="0"/>
          <w:color w:val="auto"/>
        </w:rPr>
        <w:t xml:space="preserve">финансовой отчетности, </w:t>
      </w:r>
      <w:r w:rsidRPr="007B212E">
        <w:rPr>
          <w:rFonts w:ascii="Times New Roman" w:hAnsi="Times New Roman" w:cs="Times New Roman"/>
          <w:b/>
          <w:i w:val="0"/>
          <w:color w:val="auto"/>
          <w:lang w:val="en-US"/>
        </w:rPr>
        <w:t>ESG</w:t>
      </w:r>
      <w:r w:rsidRPr="007B212E">
        <w:rPr>
          <w:rFonts w:ascii="Times New Roman" w:hAnsi="Times New Roman" w:cs="Times New Roman"/>
          <w:b/>
          <w:i w:val="0"/>
          <w:color w:val="auto"/>
        </w:rPr>
        <w:t xml:space="preserve"> индексам и рейтингам устойчивого развития к докладу Банка России для общественных консультаций «Модельная методология </w:t>
      </w:r>
      <w:r w:rsidRPr="007B212E">
        <w:rPr>
          <w:rFonts w:ascii="Times New Roman" w:hAnsi="Times New Roman" w:cs="Times New Roman"/>
          <w:b/>
          <w:i w:val="0"/>
          <w:color w:val="auto"/>
          <w:lang w:val="en-US"/>
        </w:rPr>
        <w:t>ESG</w:t>
      </w:r>
      <w:r w:rsidRPr="007B212E">
        <w:rPr>
          <w:rFonts w:ascii="Times New Roman" w:hAnsi="Times New Roman" w:cs="Times New Roman"/>
          <w:b/>
          <w:i w:val="0"/>
          <w:color w:val="auto"/>
        </w:rPr>
        <w:t>-рейтингов»</w:t>
      </w:r>
    </w:p>
    <w:p w:rsidR="00396ADE" w:rsidRDefault="00396ADE" w:rsidP="007D2030">
      <w:pPr>
        <w:spacing w:after="0" w:line="240" w:lineRule="auto"/>
      </w:pPr>
    </w:p>
    <w:p w:rsidR="004F7D47" w:rsidRDefault="004F7D47" w:rsidP="004E4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FA4" w:rsidRPr="00EB6FA4" w:rsidRDefault="00EB6FA4" w:rsidP="004E4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РСПП по нефинансовой отчетности, </w:t>
      </w:r>
      <w:r>
        <w:rPr>
          <w:rFonts w:ascii="Times New Roman" w:hAnsi="Times New Roman" w:cs="Times New Roman"/>
          <w:sz w:val="24"/>
          <w:szCs w:val="24"/>
          <w:lang w:val="en-US"/>
        </w:rPr>
        <w:t>ESG</w:t>
      </w:r>
      <w:r w:rsidR="00B55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рейтингам и индексам устойчивого развития (далее Совет)</w:t>
      </w:r>
      <w:r w:rsidRPr="00EB6F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6FA4">
        <w:rPr>
          <w:rFonts w:ascii="Times New Roman" w:hAnsi="Times New Roman" w:cs="Times New Roman"/>
          <w:sz w:val="24"/>
          <w:szCs w:val="24"/>
        </w:rPr>
        <w:t xml:space="preserve">представляет предложения к докладу Банка России «Модельная методология </w:t>
      </w:r>
      <w:r w:rsidRPr="00EB6FA4">
        <w:rPr>
          <w:rFonts w:ascii="Times New Roman" w:hAnsi="Times New Roman" w:cs="Times New Roman"/>
          <w:sz w:val="24"/>
          <w:szCs w:val="24"/>
          <w:lang w:val="en-US"/>
        </w:rPr>
        <w:t>ESG</w:t>
      </w:r>
      <w:r w:rsidRPr="00EB6FA4">
        <w:rPr>
          <w:rFonts w:ascii="Times New Roman" w:hAnsi="Times New Roman" w:cs="Times New Roman"/>
          <w:sz w:val="24"/>
          <w:szCs w:val="24"/>
        </w:rPr>
        <w:t>-рейтингов» по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его обсуждения  на открытом заседании Совета РСПП, состоявшегося 10 февраля 2023 г. с участием широкого круга представителей бизнеса и экспертов.</w:t>
      </w:r>
    </w:p>
    <w:p w:rsidR="00396ADE" w:rsidRPr="00EB6FA4" w:rsidRDefault="00396ADE" w:rsidP="004E4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C06" w:rsidRDefault="000C48B3" w:rsidP="004E41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32D">
        <w:rPr>
          <w:rFonts w:ascii="Times New Roman" w:hAnsi="Times New Roman" w:cs="Times New Roman"/>
          <w:sz w:val="24"/>
          <w:szCs w:val="24"/>
        </w:rPr>
        <w:t xml:space="preserve">Совет РСПП </w:t>
      </w:r>
      <w:proofErr w:type="gramStart"/>
      <w:r w:rsidRPr="00FF132D">
        <w:rPr>
          <w:rFonts w:ascii="Times New Roman" w:hAnsi="Times New Roman" w:cs="Times New Roman"/>
          <w:sz w:val="24"/>
          <w:szCs w:val="24"/>
        </w:rPr>
        <w:t>приветствует и высоко оценивает</w:t>
      </w:r>
      <w:proofErr w:type="gramEnd"/>
      <w:r w:rsidRPr="00FF132D">
        <w:rPr>
          <w:rFonts w:ascii="Times New Roman" w:hAnsi="Times New Roman" w:cs="Times New Roman"/>
          <w:sz w:val="24"/>
          <w:szCs w:val="24"/>
        </w:rPr>
        <w:t xml:space="preserve"> </w:t>
      </w:r>
      <w:r w:rsidR="00396ADE" w:rsidRPr="00FF132D">
        <w:rPr>
          <w:rFonts w:ascii="Times New Roman" w:hAnsi="Times New Roman" w:cs="Times New Roman"/>
          <w:sz w:val="24"/>
          <w:szCs w:val="24"/>
        </w:rPr>
        <w:t>инициативу Банка России</w:t>
      </w:r>
    </w:p>
    <w:p w:rsidR="006D414B" w:rsidRPr="004E41D6" w:rsidRDefault="00FF132D" w:rsidP="004E41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17A83" w:rsidRPr="008D0C06">
        <w:rPr>
          <w:rFonts w:ascii="Times New Roman" w:hAnsi="Times New Roman" w:cs="Times New Roman"/>
          <w:sz w:val="24"/>
          <w:szCs w:val="24"/>
        </w:rPr>
        <w:t xml:space="preserve">ынести </w:t>
      </w:r>
      <w:r w:rsidR="00396ADE" w:rsidRPr="008D0C06">
        <w:rPr>
          <w:rFonts w:ascii="Times New Roman" w:hAnsi="Times New Roman" w:cs="Times New Roman"/>
          <w:sz w:val="24"/>
          <w:szCs w:val="24"/>
        </w:rPr>
        <w:t xml:space="preserve">для </w:t>
      </w:r>
      <w:r w:rsidR="00A17A83" w:rsidRPr="001441F7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396ADE" w:rsidRPr="001441F7">
        <w:rPr>
          <w:rFonts w:ascii="Times New Roman" w:hAnsi="Times New Roman" w:cs="Times New Roman"/>
          <w:sz w:val="24"/>
          <w:szCs w:val="24"/>
        </w:rPr>
        <w:t xml:space="preserve">консультаций предлагаемые подходы </w:t>
      </w:r>
      <w:r w:rsidR="00396ADE" w:rsidRPr="004E41D6">
        <w:rPr>
          <w:rFonts w:ascii="Times New Roman" w:hAnsi="Times New Roman" w:cs="Times New Roman"/>
          <w:sz w:val="24"/>
          <w:szCs w:val="24"/>
        </w:rPr>
        <w:t xml:space="preserve">к упорядочению </w:t>
      </w:r>
      <w:r w:rsidR="00A17A83" w:rsidRPr="004E41D6">
        <w:rPr>
          <w:rFonts w:ascii="Times New Roman" w:hAnsi="Times New Roman" w:cs="Times New Roman"/>
          <w:sz w:val="24"/>
          <w:szCs w:val="24"/>
        </w:rPr>
        <w:t xml:space="preserve">российского рынка </w:t>
      </w:r>
      <w:r w:rsidR="00A17A83" w:rsidRPr="004E41D6">
        <w:rPr>
          <w:rFonts w:ascii="Times New Roman" w:hAnsi="Times New Roman" w:cs="Times New Roman"/>
          <w:sz w:val="24"/>
          <w:szCs w:val="24"/>
          <w:lang w:val="en-US"/>
        </w:rPr>
        <w:t>ESG</w:t>
      </w:r>
      <w:r w:rsidR="00A17A83" w:rsidRPr="004E41D6">
        <w:rPr>
          <w:rFonts w:ascii="Times New Roman" w:hAnsi="Times New Roman" w:cs="Times New Roman"/>
          <w:sz w:val="24"/>
          <w:szCs w:val="24"/>
        </w:rPr>
        <w:t xml:space="preserve"> – рейтингов</w:t>
      </w:r>
      <w:r w:rsidR="00A6337F" w:rsidRPr="004E41D6">
        <w:rPr>
          <w:rFonts w:ascii="Times New Roman" w:hAnsi="Times New Roman" w:cs="Times New Roman"/>
          <w:sz w:val="24"/>
          <w:szCs w:val="24"/>
        </w:rPr>
        <w:t>,</w:t>
      </w:r>
      <w:r w:rsidR="00A17A83" w:rsidRPr="004E41D6">
        <w:rPr>
          <w:rFonts w:ascii="Times New Roman" w:hAnsi="Times New Roman" w:cs="Times New Roman"/>
          <w:sz w:val="24"/>
          <w:szCs w:val="24"/>
        </w:rPr>
        <w:t xml:space="preserve"> </w:t>
      </w:r>
      <w:r w:rsidR="00396ADE" w:rsidRPr="004E41D6">
        <w:rPr>
          <w:rFonts w:ascii="Times New Roman" w:hAnsi="Times New Roman" w:cs="Times New Roman"/>
          <w:sz w:val="24"/>
          <w:szCs w:val="24"/>
        </w:rPr>
        <w:t xml:space="preserve">регулированию сферы </w:t>
      </w:r>
      <w:r w:rsidR="00A17A83" w:rsidRPr="004E41D6">
        <w:rPr>
          <w:rFonts w:ascii="Times New Roman" w:hAnsi="Times New Roman" w:cs="Times New Roman"/>
          <w:sz w:val="24"/>
          <w:szCs w:val="24"/>
        </w:rPr>
        <w:t>их построения</w:t>
      </w:r>
      <w:r w:rsidR="00396ADE" w:rsidRPr="004E41D6">
        <w:rPr>
          <w:rFonts w:ascii="Times New Roman" w:hAnsi="Times New Roman" w:cs="Times New Roman"/>
          <w:sz w:val="24"/>
          <w:szCs w:val="24"/>
        </w:rPr>
        <w:t>, присвоения и использования</w:t>
      </w:r>
      <w:r w:rsidR="004269C7" w:rsidRPr="004E41D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B1F22" w:rsidRDefault="004269C7" w:rsidP="004E41D6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>Совет считает важным продолжить практику обсуждения этих вопросов и участи</w:t>
      </w:r>
      <w:r w:rsidR="0014796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67B">
        <w:rPr>
          <w:rFonts w:ascii="Times New Roman" w:hAnsi="Times New Roman" w:cs="Times New Roman"/>
          <w:sz w:val="24"/>
          <w:szCs w:val="24"/>
        </w:rPr>
        <w:t xml:space="preserve">в выработке </w:t>
      </w:r>
      <w:r>
        <w:rPr>
          <w:rFonts w:ascii="Times New Roman" w:hAnsi="Times New Roman" w:cs="Times New Roman"/>
          <w:sz w:val="24"/>
          <w:szCs w:val="24"/>
        </w:rPr>
        <w:t xml:space="preserve">во взаимодействии с Банком России и другими заинтересованными сторонами </w:t>
      </w:r>
      <w:r w:rsidR="00F736F9">
        <w:rPr>
          <w:rFonts w:ascii="Times New Roman" w:hAnsi="Times New Roman" w:cs="Times New Roman"/>
          <w:sz w:val="24"/>
          <w:szCs w:val="24"/>
        </w:rPr>
        <w:t xml:space="preserve">общих правил и </w:t>
      </w:r>
      <w:r w:rsidR="009F70E6">
        <w:rPr>
          <w:rFonts w:ascii="Times New Roman" w:hAnsi="Times New Roman" w:cs="Times New Roman"/>
          <w:sz w:val="24"/>
          <w:szCs w:val="24"/>
        </w:rPr>
        <w:t>этических норм</w:t>
      </w:r>
      <w:r w:rsidR="002F367B">
        <w:rPr>
          <w:rFonts w:ascii="Times New Roman" w:hAnsi="Times New Roman" w:cs="Times New Roman"/>
          <w:sz w:val="24"/>
          <w:szCs w:val="24"/>
        </w:rPr>
        <w:t xml:space="preserve"> рейтинговой практики</w:t>
      </w:r>
      <w:r w:rsidR="00F736F9" w:rsidRPr="00F736F9">
        <w:rPr>
          <w:rFonts w:ascii="Times New Roman" w:hAnsi="Times New Roman" w:cs="Times New Roman"/>
          <w:sz w:val="24"/>
          <w:szCs w:val="24"/>
        </w:rPr>
        <w:t xml:space="preserve"> </w:t>
      </w:r>
      <w:r w:rsidR="00F736F9">
        <w:rPr>
          <w:rFonts w:ascii="Times New Roman" w:hAnsi="Times New Roman" w:cs="Times New Roman"/>
          <w:sz w:val="24"/>
          <w:szCs w:val="24"/>
        </w:rPr>
        <w:t>в области устойчивого развития.</w:t>
      </w:r>
      <w:r w:rsidR="006B1F22">
        <w:rPr>
          <w:rFonts w:ascii="Times New Roman" w:hAnsi="Times New Roman" w:cs="Times New Roman"/>
          <w:sz w:val="24"/>
          <w:szCs w:val="24"/>
        </w:rPr>
        <w:t xml:space="preserve"> </w:t>
      </w:r>
      <w:r w:rsidR="006D414B">
        <w:rPr>
          <w:rFonts w:ascii="Times New Roman" w:hAnsi="Times New Roman" w:cs="Times New Roman"/>
          <w:sz w:val="24"/>
          <w:szCs w:val="24"/>
        </w:rPr>
        <w:t xml:space="preserve">Такая деятельность будет способствовать сохранению </w:t>
      </w:r>
      <w:r w:rsidR="006D414B" w:rsidRPr="006D414B">
        <w:rPr>
          <w:rFonts w:ascii="Times New Roman" w:hAnsi="Times New Roman" w:cs="Times New Roman"/>
          <w:sz w:val="24"/>
          <w:szCs w:val="24"/>
        </w:rPr>
        <w:t xml:space="preserve">внимания и интереса </w:t>
      </w:r>
      <w:r w:rsidR="006B1F22" w:rsidRPr="006D414B">
        <w:rPr>
          <w:rFonts w:ascii="Times New Roman" w:hAnsi="Times New Roman" w:cs="Times New Roman"/>
          <w:sz w:val="24"/>
          <w:szCs w:val="24"/>
        </w:rPr>
        <w:t>общества и бизнеса к приоритетам устойчивого развития</w:t>
      </w:r>
      <w:r w:rsidR="006D414B" w:rsidRPr="006D414B">
        <w:rPr>
          <w:rFonts w:ascii="Times New Roman" w:hAnsi="Times New Roman" w:cs="Times New Roman"/>
          <w:sz w:val="24"/>
          <w:szCs w:val="24"/>
        </w:rPr>
        <w:t xml:space="preserve">, что </w:t>
      </w:r>
      <w:r w:rsidR="006B1F22" w:rsidRPr="006D414B">
        <w:rPr>
          <w:rFonts w:ascii="Times New Roman" w:hAnsi="Times New Roman" w:cs="Times New Roman"/>
          <w:sz w:val="24"/>
          <w:szCs w:val="24"/>
        </w:rPr>
        <w:t xml:space="preserve">согласуется с </w:t>
      </w:r>
      <w:r w:rsidR="006D414B" w:rsidRPr="006D414B">
        <w:rPr>
          <w:rFonts w:ascii="Times New Roman" w:hAnsi="Times New Roman" w:cs="Times New Roman"/>
          <w:sz w:val="24"/>
          <w:szCs w:val="24"/>
        </w:rPr>
        <w:t>П</w:t>
      </w:r>
      <w:r w:rsidR="006B1F22" w:rsidRPr="006D414B">
        <w:rPr>
          <w:rFonts w:ascii="Times New Roman" w:hAnsi="Times New Roman" w:cs="Times New Roman"/>
          <w:sz w:val="24"/>
          <w:szCs w:val="24"/>
        </w:rPr>
        <w:t xml:space="preserve">озицией РСПП </w:t>
      </w:r>
      <w:r w:rsidR="006D414B" w:rsidRPr="006D414B">
        <w:rPr>
          <w:rFonts w:ascii="Times New Roman" w:hAnsi="Times New Roman" w:cs="Times New Roman"/>
          <w:sz w:val="24"/>
          <w:szCs w:val="24"/>
        </w:rPr>
        <w:t xml:space="preserve">«Рекомендации </w:t>
      </w:r>
      <w:r w:rsidR="006B1F22" w:rsidRPr="006D414B">
        <w:rPr>
          <w:rFonts w:ascii="Times New Roman" w:hAnsi="Times New Roman" w:cs="Times New Roman"/>
          <w:sz w:val="24"/>
          <w:szCs w:val="24"/>
        </w:rPr>
        <w:t>по поддержанию и продвижению повестки устойчивого развития в современной российской практике</w:t>
      </w:r>
      <w:r w:rsidR="006D414B" w:rsidRPr="006D414B">
        <w:rPr>
          <w:rFonts w:ascii="Times New Roman" w:hAnsi="Times New Roman" w:cs="Times New Roman"/>
          <w:sz w:val="24"/>
          <w:szCs w:val="24"/>
        </w:rPr>
        <w:t>»</w:t>
      </w:r>
      <w:r w:rsidR="006B1F22" w:rsidRPr="006D414B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="006D414B" w:rsidRPr="006D414B">
        <w:rPr>
          <w:rFonts w:ascii="Times New Roman" w:hAnsi="Times New Roman" w:cs="Times New Roman"/>
          <w:sz w:val="24"/>
          <w:szCs w:val="24"/>
        </w:rPr>
        <w:t xml:space="preserve">в январе </w:t>
      </w:r>
      <w:r w:rsidR="006B1F22" w:rsidRPr="006D414B">
        <w:rPr>
          <w:rFonts w:ascii="Times New Roman" w:hAnsi="Times New Roman" w:cs="Times New Roman"/>
          <w:sz w:val="24"/>
          <w:szCs w:val="24"/>
        </w:rPr>
        <w:t>2023</w:t>
      </w:r>
      <w:r w:rsidR="006D414B" w:rsidRPr="006D414B">
        <w:rPr>
          <w:rFonts w:ascii="Times New Roman" w:hAnsi="Times New Roman" w:cs="Times New Roman"/>
          <w:sz w:val="24"/>
          <w:szCs w:val="24"/>
        </w:rPr>
        <w:t xml:space="preserve"> г.</w:t>
      </w:r>
      <w:r w:rsidR="006D414B">
        <w:rPr>
          <w:rFonts w:ascii="Arial" w:hAnsi="Arial" w:cs="Arial"/>
        </w:rPr>
        <w:t xml:space="preserve"> </w:t>
      </w:r>
      <w:r w:rsidR="006B1F22" w:rsidRPr="00686515">
        <w:rPr>
          <w:rFonts w:ascii="Arial" w:hAnsi="Arial" w:cs="Arial"/>
        </w:rPr>
        <w:t xml:space="preserve"> </w:t>
      </w:r>
    </w:p>
    <w:p w:rsidR="00F736F9" w:rsidRDefault="00F736F9" w:rsidP="004E4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C06" w:rsidRDefault="00A17A83" w:rsidP="004E41D6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32D">
        <w:rPr>
          <w:rFonts w:ascii="Times New Roman" w:hAnsi="Times New Roman" w:cs="Times New Roman"/>
          <w:sz w:val="24"/>
          <w:szCs w:val="24"/>
        </w:rPr>
        <w:t xml:space="preserve">В Докладе Банка России справедливо отмечено, что рынок </w:t>
      </w:r>
      <w:r w:rsidR="006D414B" w:rsidRPr="00FF132D">
        <w:rPr>
          <w:rFonts w:ascii="Times New Roman" w:hAnsi="Times New Roman" w:cs="Times New Roman"/>
          <w:sz w:val="24"/>
          <w:szCs w:val="24"/>
          <w:lang w:val="en-US"/>
        </w:rPr>
        <w:t>ESG</w:t>
      </w:r>
      <w:r w:rsidR="006D414B" w:rsidRPr="00FF132D">
        <w:rPr>
          <w:rFonts w:ascii="Times New Roman" w:hAnsi="Times New Roman" w:cs="Times New Roman"/>
          <w:sz w:val="24"/>
          <w:szCs w:val="24"/>
        </w:rPr>
        <w:t xml:space="preserve"> – рейтингов</w:t>
      </w:r>
    </w:p>
    <w:p w:rsidR="00760F29" w:rsidRPr="004E41D6" w:rsidRDefault="00A17A83" w:rsidP="004E41D6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C06">
        <w:rPr>
          <w:rFonts w:ascii="Times New Roman" w:hAnsi="Times New Roman" w:cs="Times New Roman"/>
          <w:sz w:val="24"/>
          <w:szCs w:val="24"/>
        </w:rPr>
        <w:t xml:space="preserve">России, активно развиваясь, все еще находится </w:t>
      </w:r>
      <w:r w:rsidR="00F736F9" w:rsidRPr="008D0C06">
        <w:rPr>
          <w:rFonts w:ascii="Times New Roman" w:hAnsi="Times New Roman" w:cs="Times New Roman"/>
          <w:sz w:val="24"/>
          <w:szCs w:val="24"/>
        </w:rPr>
        <w:t>в стадии</w:t>
      </w:r>
      <w:r w:rsidR="00BA1257" w:rsidRPr="001441F7">
        <w:rPr>
          <w:rFonts w:ascii="Times New Roman" w:hAnsi="Times New Roman" w:cs="Times New Roman"/>
          <w:sz w:val="24"/>
          <w:szCs w:val="24"/>
        </w:rPr>
        <w:t xml:space="preserve"> своего формирования. </w:t>
      </w:r>
      <w:r w:rsidR="00907981" w:rsidRPr="001441F7">
        <w:rPr>
          <w:rFonts w:ascii="Times New Roman" w:hAnsi="Times New Roman" w:cs="Times New Roman"/>
          <w:sz w:val="24"/>
          <w:szCs w:val="24"/>
        </w:rPr>
        <w:t>В этой связи п</w:t>
      </w:r>
      <w:r w:rsidR="00BA1257" w:rsidRPr="004E41D6">
        <w:rPr>
          <w:rFonts w:ascii="Times New Roman" w:hAnsi="Times New Roman" w:cs="Times New Roman"/>
          <w:sz w:val="24"/>
          <w:szCs w:val="24"/>
        </w:rPr>
        <w:t xml:space="preserve">редставляется преждевременным делать однозначные выводы о лучшей </w:t>
      </w:r>
      <w:r w:rsidR="00B552FD" w:rsidRPr="004E41D6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BA1257" w:rsidRPr="004E41D6">
        <w:rPr>
          <w:rFonts w:ascii="Times New Roman" w:hAnsi="Times New Roman" w:cs="Times New Roman"/>
          <w:sz w:val="24"/>
          <w:szCs w:val="24"/>
        </w:rPr>
        <w:t>практике в этой сфере</w:t>
      </w:r>
      <w:r w:rsidR="00EB6FA4" w:rsidRPr="004E41D6">
        <w:rPr>
          <w:rFonts w:ascii="Times New Roman" w:hAnsi="Times New Roman" w:cs="Times New Roman"/>
          <w:sz w:val="24"/>
          <w:szCs w:val="24"/>
        </w:rPr>
        <w:t xml:space="preserve">. Это относится и к модельной методологии </w:t>
      </w:r>
      <w:r w:rsidR="00EB6FA4" w:rsidRPr="004E41D6">
        <w:rPr>
          <w:rFonts w:ascii="Times New Roman" w:hAnsi="Times New Roman" w:cs="Times New Roman"/>
          <w:sz w:val="24"/>
          <w:szCs w:val="24"/>
          <w:lang w:val="en-US"/>
        </w:rPr>
        <w:t>ESG</w:t>
      </w:r>
      <w:r w:rsidR="00EB6FA4" w:rsidRPr="004E41D6">
        <w:rPr>
          <w:rFonts w:ascii="Times New Roman" w:hAnsi="Times New Roman" w:cs="Times New Roman"/>
          <w:sz w:val="24"/>
          <w:szCs w:val="24"/>
        </w:rPr>
        <w:t xml:space="preserve"> – рейтингов</w:t>
      </w:r>
      <w:r w:rsidR="00A6337F" w:rsidRPr="004E41D6">
        <w:rPr>
          <w:rFonts w:ascii="Times New Roman" w:hAnsi="Times New Roman" w:cs="Times New Roman"/>
          <w:sz w:val="24"/>
          <w:szCs w:val="24"/>
        </w:rPr>
        <w:t>.</w:t>
      </w:r>
      <w:r w:rsidR="00D35B2A" w:rsidRPr="004E41D6">
        <w:rPr>
          <w:rFonts w:ascii="Times New Roman" w:hAnsi="Times New Roman" w:cs="Times New Roman"/>
          <w:sz w:val="24"/>
          <w:szCs w:val="24"/>
        </w:rPr>
        <w:t xml:space="preserve"> </w:t>
      </w:r>
      <w:r w:rsidR="006B306F" w:rsidRPr="004E41D6">
        <w:rPr>
          <w:rFonts w:ascii="Times New Roman" w:hAnsi="Times New Roman" w:cs="Times New Roman"/>
          <w:sz w:val="24"/>
          <w:szCs w:val="24"/>
        </w:rPr>
        <w:t>Было бы полезным на</w:t>
      </w:r>
      <w:r w:rsidR="00A6337F" w:rsidRPr="004E41D6">
        <w:rPr>
          <w:rFonts w:ascii="Times New Roman" w:hAnsi="Times New Roman" w:cs="Times New Roman"/>
          <w:sz w:val="24"/>
          <w:szCs w:val="24"/>
        </w:rPr>
        <w:t xml:space="preserve"> данном этапе предл</w:t>
      </w:r>
      <w:r w:rsidR="006B306F" w:rsidRPr="004E41D6">
        <w:rPr>
          <w:rFonts w:ascii="Times New Roman" w:hAnsi="Times New Roman" w:cs="Times New Roman"/>
          <w:sz w:val="24"/>
          <w:szCs w:val="24"/>
        </w:rPr>
        <w:t>ожить</w:t>
      </w:r>
      <w:r w:rsidR="0081257D" w:rsidRPr="004E41D6">
        <w:rPr>
          <w:rFonts w:ascii="Times New Roman" w:hAnsi="Times New Roman" w:cs="Times New Roman"/>
          <w:sz w:val="24"/>
          <w:szCs w:val="24"/>
        </w:rPr>
        <w:t xml:space="preserve"> её</w:t>
      </w:r>
      <w:r w:rsidR="00A6337F" w:rsidRPr="004E41D6">
        <w:rPr>
          <w:rFonts w:ascii="Times New Roman" w:hAnsi="Times New Roman" w:cs="Times New Roman"/>
          <w:sz w:val="24"/>
          <w:szCs w:val="24"/>
        </w:rPr>
        <w:t xml:space="preserve"> в качестве примера проработанно</w:t>
      </w:r>
      <w:r w:rsidR="006B306F" w:rsidRPr="004E41D6">
        <w:rPr>
          <w:rFonts w:ascii="Times New Roman" w:hAnsi="Times New Roman" w:cs="Times New Roman"/>
          <w:sz w:val="24"/>
          <w:szCs w:val="24"/>
        </w:rPr>
        <w:t>сти</w:t>
      </w:r>
      <w:r w:rsidR="00A6337F" w:rsidRPr="004E41D6">
        <w:rPr>
          <w:rFonts w:ascii="Times New Roman" w:hAnsi="Times New Roman" w:cs="Times New Roman"/>
          <w:sz w:val="24"/>
          <w:szCs w:val="24"/>
        </w:rPr>
        <w:t xml:space="preserve"> методологии </w:t>
      </w:r>
      <w:r w:rsidR="006B306F" w:rsidRPr="004E41D6">
        <w:rPr>
          <w:rFonts w:ascii="Times New Roman" w:hAnsi="Times New Roman" w:cs="Times New Roman"/>
          <w:sz w:val="24"/>
          <w:szCs w:val="24"/>
        </w:rPr>
        <w:t xml:space="preserve">рейтинга и, в этом смысле, </w:t>
      </w:r>
      <w:r w:rsidR="00A6337F" w:rsidRPr="004E41D6">
        <w:rPr>
          <w:rFonts w:ascii="Times New Roman" w:hAnsi="Times New Roman" w:cs="Times New Roman"/>
          <w:sz w:val="24"/>
          <w:szCs w:val="24"/>
        </w:rPr>
        <w:t xml:space="preserve">ориентира для </w:t>
      </w:r>
      <w:proofErr w:type="spellStart"/>
      <w:r w:rsidR="00A6337F" w:rsidRPr="004E41D6">
        <w:rPr>
          <w:rFonts w:ascii="Times New Roman" w:hAnsi="Times New Roman" w:cs="Times New Roman"/>
          <w:sz w:val="24"/>
          <w:szCs w:val="24"/>
        </w:rPr>
        <w:t>рейтингующих</w:t>
      </w:r>
      <w:proofErr w:type="spellEnd"/>
      <w:r w:rsidR="00A6337F" w:rsidRPr="004E41D6">
        <w:rPr>
          <w:rFonts w:ascii="Times New Roman" w:hAnsi="Times New Roman" w:cs="Times New Roman"/>
          <w:sz w:val="24"/>
          <w:szCs w:val="24"/>
        </w:rPr>
        <w:t xml:space="preserve"> организаций при построении </w:t>
      </w:r>
      <w:r w:rsidR="006B306F" w:rsidRPr="004E41D6">
        <w:rPr>
          <w:rFonts w:ascii="Times New Roman" w:hAnsi="Times New Roman" w:cs="Times New Roman"/>
          <w:sz w:val="24"/>
          <w:szCs w:val="24"/>
        </w:rPr>
        <w:t xml:space="preserve">ими </w:t>
      </w:r>
      <w:r w:rsidR="00A6337F" w:rsidRPr="004E41D6">
        <w:rPr>
          <w:rFonts w:ascii="Times New Roman" w:hAnsi="Times New Roman" w:cs="Times New Roman"/>
          <w:sz w:val="24"/>
          <w:szCs w:val="24"/>
        </w:rPr>
        <w:t xml:space="preserve">методических основ для своих оценочных инструментов. </w:t>
      </w:r>
      <w:r w:rsidR="006B306F" w:rsidRPr="004E41D6">
        <w:rPr>
          <w:rFonts w:ascii="Times New Roman" w:hAnsi="Times New Roman" w:cs="Times New Roman"/>
          <w:sz w:val="24"/>
          <w:szCs w:val="24"/>
        </w:rPr>
        <w:t xml:space="preserve">В дальнейшем сама модельная методология </w:t>
      </w:r>
      <w:r w:rsidR="00BD0476" w:rsidRPr="004E41D6">
        <w:rPr>
          <w:rFonts w:ascii="Times New Roman" w:hAnsi="Times New Roman" w:cs="Times New Roman"/>
          <w:sz w:val="24"/>
          <w:szCs w:val="24"/>
        </w:rPr>
        <w:t>будет</w:t>
      </w:r>
      <w:r w:rsidR="006B306F" w:rsidRPr="004E41D6">
        <w:rPr>
          <w:rFonts w:ascii="Times New Roman" w:hAnsi="Times New Roman" w:cs="Times New Roman"/>
          <w:sz w:val="24"/>
          <w:szCs w:val="24"/>
        </w:rPr>
        <w:t xml:space="preserve"> уточняться под влиянием </w:t>
      </w:r>
      <w:r w:rsidR="00BD6A18" w:rsidRPr="004E41D6">
        <w:rPr>
          <w:rFonts w:ascii="Times New Roman" w:hAnsi="Times New Roman" w:cs="Times New Roman"/>
          <w:sz w:val="24"/>
          <w:szCs w:val="24"/>
        </w:rPr>
        <w:t xml:space="preserve">накопления </w:t>
      </w:r>
      <w:r w:rsidR="006B306F" w:rsidRPr="004E41D6">
        <w:rPr>
          <w:rFonts w:ascii="Times New Roman" w:hAnsi="Times New Roman" w:cs="Times New Roman"/>
          <w:sz w:val="24"/>
          <w:szCs w:val="24"/>
        </w:rPr>
        <w:t xml:space="preserve">практического опыта </w:t>
      </w:r>
      <w:r w:rsidR="006B306F" w:rsidRPr="004E41D6">
        <w:rPr>
          <w:rFonts w:ascii="Times New Roman" w:hAnsi="Times New Roman" w:cs="Times New Roman"/>
          <w:sz w:val="24"/>
          <w:szCs w:val="24"/>
          <w:lang w:val="en-US"/>
        </w:rPr>
        <w:t>ESG</w:t>
      </w:r>
      <w:r w:rsidR="00907981" w:rsidRPr="004E41D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07981" w:rsidRPr="004E41D6"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 w:rsidR="00907981" w:rsidRPr="004E41D6">
        <w:rPr>
          <w:rFonts w:ascii="Times New Roman" w:hAnsi="Times New Roman" w:cs="Times New Roman"/>
          <w:sz w:val="24"/>
          <w:szCs w:val="24"/>
        </w:rPr>
        <w:t>,</w:t>
      </w:r>
      <w:r w:rsidR="00332C2B" w:rsidRPr="004E41D6">
        <w:rPr>
          <w:rFonts w:ascii="Times New Roman" w:hAnsi="Times New Roman" w:cs="Times New Roman"/>
          <w:sz w:val="24"/>
          <w:szCs w:val="24"/>
        </w:rPr>
        <w:t xml:space="preserve"> </w:t>
      </w:r>
      <w:r w:rsidR="00907981" w:rsidRPr="004E41D6">
        <w:rPr>
          <w:rFonts w:ascii="Times New Roman" w:hAnsi="Times New Roman" w:cs="Times New Roman"/>
          <w:sz w:val="24"/>
          <w:szCs w:val="24"/>
        </w:rPr>
        <w:t>в том числе, в части</w:t>
      </w:r>
      <w:r w:rsidR="00BD0476" w:rsidRPr="004E41D6">
        <w:rPr>
          <w:rFonts w:ascii="Times New Roman" w:hAnsi="Times New Roman" w:cs="Times New Roman"/>
          <w:sz w:val="24"/>
          <w:szCs w:val="24"/>
        </w:rPr>
        <w:t xml:space="preserve"> определения </w:t>
      </w:r>
      <w:r w:rsidR="00907981" w:rsidRPr="004E41D6">
        <w:rPr>
          <w:rFonts w:ascii="Times New Roman" w:hAnsi="Times New Roman" w:cs="Times New Roman"/>
          <w:sz w:val="24"/>
          <w:szCs w:val="24"/>
        </w:rPr>
        <w:t xml:space="preserve">необходимого и достаточного уровня </w:t>
      </w:r>
      <w:r w:rsidR="00BD0476" w:rsidRPr="004E41D6">
        <w:rPr>
          <w:rFonts w:ascii="Times New Roman" w:hAnsi="Times New Roman" w:cs="Times New Roman"/>
          <w:sz w:val="24"/>
          <w:szCs w:val="24"/>
        </w:rPr>
        <w:t xml:space="preserve">её унификации и </w:t>
      </w:r>
      <w:r w:rsidR="00907981" w:rsidRPr="004E41D6">
        <w:rPr>
          <w:rFonts w:ascii="Times New Roman" w:hAnsi="Times New Roman" w:cs="Times New Roman"/>
          <w:sz w:val="24"/>
          <w:szCs w:val="24"/>
        </w:rPr>
        <w:t>детализации</w:t>
      </w:r>
      <w:r w:rsidR="00D43A38" w:rsidRPr="004E41D6">
        <w:rPr>
          <w:rFonts w:ascii="Times New Roman" w:hAnsi="Times New Roman" w:cs="Times New Roman"/>
          <w:sz w:val="24"/>
          <w:szCs w:val="24"/>
        </w:rPr>
        <w:t xml:space="preserve">, а также условий для обязательного применения. Таким условием может стать включение в регуляторную среду </w:t>
      </w:r>
      <w:r w:rsidR="00D43A38" w:rsidRPr="004E41D6">
        <w:rPr>
          <w:rFonts w:ascii="Times New Roman" w:hAnsi="Times New Roman" w:cs="Times New Roman"/>
          <w:sz w:val="24"/>
          <w:szCs w:val="24"/>
          <w:lang w:val="en-US"/>
        </w:rPr>
        <w:t>ESG</w:t>
      </w:r>
      <w:r w:rsidR="00AD0D69" w:rsidRPr="004E41D6">
        <w:rPr>
          <w:rFonts w:ascii="Times New Roman" w:hAnsi="Times New Roman" w:cs="Times New Roman"/>
          <w:sz w:val="24"/>
          <w:szCs w:val="24"/>
        </w:rPr>
        <w:t>–</w:t>
      </w:r>
      <w:r w:rsidR="00D43A38" w:rsidRPr="004E41D6">
        <w:rPr>
          <w:rFonts w:ascii="Times New Roman" w:hAnsi="Times New Roman" w:cs="Times New Roman"/>
          <w:sz w:val="24"/>
          <w:szCs w:val="24"/>
        </w:rPr>
        <w:t>рейтингов</w:t>
      </w:r>
      <w:r w:rsidR="00AD0D69" w:rsidRPr="004E41D6">
        <w:rPr>
          <w:rFonts w:ascii="Times New Roman" w:hAnsi="Times New Roman" w:cs="Times New Roman"/>
          <w:sz w:val="24"/>
          <w:szCs w:val="24"/>
        </w:rPr>
        <w:t xml:space="preserve">, </w:t>
      </w:r>
      <w:r w:rsidR="004B11A1" w:rsidRPr="004E41D6">
        <w:rPr>
          <w:rFonts w:ascii="Times New Roman" w:hAnsi="Times New Roman" w:cs="Times New Roman"/>
          <w:iCs/>
          <w:sz w:val="24"/>
          <w:szCs w:val="24"/>
        </w:rPr>
        <w:t xml:space="preserve">которые соответствуют заданным методологическим параметрам, при этом </w:t>
      </w:r>
      <w:r w:rsidR="00A3034E" w:rsidRPr="004E41D6">
        <w:rPr>
          <w:rFonts w:ascii="Times New Roman" w:hAnsi="Times New Roman" w:cs="Times New Roman"/>
          <w:sz w:val="24"/>
          <w:szCs w:val="24"/>
        </w:rPr>
        <w:t xml:space="preserve">назначение </w:t>
      </w:r>
      <w:r w:rsidR="00175FB7" w:rsidRPr="004E41D6">
        <w:rPr>
          <w:rFonts w:ascii="Times New Roman" w:hAnsi="Times New Roman" w:cs="Times New Roman"/>
          <w:sz w:val="24"/>
          <w:szCs w:val="24"/>
        </w:rPr>
        <w:t>(целеполагание</w:t>
      </w:r>
      <w:r w:rsidR="00A3034E" w:rsidRPr="004E41D6">
        <w:rPr>
          <w:rFonts w:ascii="Times New Roman" w:hAnsi="Times New Roman" w:cs="Times New Roman"/>
          <w:sz w:val="24"/>
          <w:szCs w:val="24"/>
        </w:rPr>
        <w:t>)</w:t>
      </w:r>
      <w:r w:rsidR="00AD0D69" w:rsidRPr="004E41D6">
        <w:rPr>
          <w:rFonts w:ascii="Times New Roman" w:hAnsi="Times New Roman" w:cs="Times New Roman"/>
          <w:sz w:val="24"/>
          <w:szCs w:val="24"/>
        </w:rPr>
        <w:t xml:space="preserve"> и </w:t>
      </w:r>
      <w:r w:rsidR="004B11A1" w:rsidRPr="004E41D6">
        <w:rPr>
          <w:rFonts w:ascii="Times New Roman" w:hAnsi="Times New Roman" w:cs="Times New Roman"/>
          <w:sz w:val="24"/>
          <w:szCs w:val="24"/>
        </w:rPr>
        <w:t>область</w:t>
      </w:r>
      <w:r w:rsidR="00AD0D69" w:rsidRPr="004E41D6">
        <w:rPr>
          <w:rFonts w:ascii="Times New Roman" w:hAnsi="Times New Roman" w:cs="Times New Roman"/>
          <w:sz w:val="24"/>
          <w:szCs w:val="24"/>
        </w:rPr>
        <w:t xml:space="preserve"> применения таких рейтингов должны быть </w:t>
      </w:r>
      <w:r w:rsidR="00FF132D" w:rsidRPr="004E41D6">
        <w:rPr>
          <w:rFonts w:ascii="Times New Roman" w:hAnsi="Times New Roman" w:cs="Times New Roman"/>
          <w:sz w:val="24"/>
          <w:szCs w:val="24"/>
        </w:rPr>
        <w:t xml:space="preserve">четко </w:t>
      </w:r>
      <w:r w:rsidR="00BD0476" w:rsidRPr="004E41D6">
        <w:rPr>
          <w:rFonts w:ascii="Times New Roman" w:hAnsi="Times New Roman" w:cs="Times New Roman"/>
          <w:sz w:val="24"/>
          <w:szCs w:val="24"/>
        </w:rPr>
        <w:t>определен</w:t>
      </w:r>
      <w:r w:rsidR="00AD0D69" w:rsidRPr="004E41D6">
        <w:rPr>
          <w:rFonts w:ascii="Times New Roman" w:hAnsi="Times New Roman" w:cs="Times New Roman"/>
          <w:sz w:val="24"/>
          <w:szCs w:val="24"/>
        </w:rPr>
        <w:t>ы</w:t>
      </w:r>
      <w:r w:rsidR="00BD0476" w:rsidRPr="004E41D6">
        <w:rPr>
          <w:rFonts w:ascii="Times New Roman" w:hAnsi="Times New Roman" w:cs="Times New Roman"/>
          <w:sz w:val="24"/>
          <w:szCs w:val="24"/>
        </w:rPr>
        <w:t>.</w:t>
      </w:r>
      <w:r w:rsidR="00E3183C" w:rsidRPr="004E41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089" w:rsidRDefault="009458BC" w:rsidP="004E41D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75FB7">
        <w:rPr>
          <w:rFonts w:ascii="Times New Roman" w:hAnsi="Times New Roman" w:cs="Times New Roman"/>
          <w:sz w:val="24"/>
          <w:szCs w:val="24"/>
        </w:rPr>
        <w:t xml:space="preserve">аким </w:t>
      </w:r>
      <w:r w:rsidR="00222DA1">
        <w:rPr>
          <w:rFonts w:ascii="Times New Roman" w:hAnsi="Times New Roman" w:cs="Times New Roman"/>
          <w:sz w:val="24"/>
          <w:szCs w:val="24"/>
        </w:rPr>
        <w:t>путем</w:t>
      </w:r>
      <w:r w:rsidR="00175FB7">
        <w:rPr>
          <w:rFonts w:ascii="Times New Roman" w:hAnsi="Times New Roman" w:cs="Times New Roman"/>
          <w:sz w:val="24"/>
          <w:szCs w:val="24"/>
        </w:rPr>
        <w:t xml:space="preserve"> </w:t>
      </w:r>
      <w:r w:rsidR="003275EA">
        <w:rPr>
          <w:rFonts w:ascii="Times New Roman" w:hAnsi="Times New Roman" w:cs="Times New Roman"/>
          <w:sz w:val="24"/>
          <w:szCs w:val="24"/>
        </w:rPr>
        <w:t xml:space="preserve">будет происходить «мягкая» унификация </w:t>
      </w:r>
      <w:r w:rsidR="003275EA" w:rsidRPr="00E3183C">
        <w:rPr>
          <w:rFonts w:ascii="Times New Roman" w:hAnsi="Times New Roman" w:cs="Times New Roman"/>
          <w:sz w:val="24"/>
          <w:szCs w:val="24"/>
          <w:lang w:val="en-US"/>
        </w:rPr>
        <w:t>ESG</w:t>
      </w:r>
      <w:r w:rsidR="003275EA" w:rsidRPr="00E3183C">
        <w:rPr>
          <w:rFonts w:ascii="Times New Roman" w:hAnsi="Times New Roman" w:cs="Times New Roman"/>
          <w:sz w:val="24"/>
          <w:szCs w:val="24"/>
        </w:rPr>
        <w:t xml:space="preserve"> – </w:t>
      </w:r>
      <w:r w:rsidR="00FF132D" w:rsidRPr="00E3183C">
        <w:rPr>
          <w:rFonts w:ascii="Times New Roman" w:hAnsi="Times New Roman" w:cs="Times New Roman"/>
          <w:sz w:val="24"/>
          <w:szCs w:val="24"/>
        </w:rPr>
        <w:t>рейтинг</w:t>
      </w:r>
      <w:r w:rsidR="00FF132D">
        <w:rPr>
          <w:rFonts w:ascii="Times New Roman" w:hAnsi="Times New Roman" w:cs="Times New Roman"/>
          <w:sz w:val="24"/>
          <w:szCs w:val="24"/>
        </w:rPr>
        <w:t>ов</w:t>
      </w:r>
      <w:r w:rsidR="003275EA">
        <w:rPr>
          <w:rFonts w:ascii="Times New Roman" w:hAnsi="Times New Roman" w:cs="Times New Roman"/>
          <w:sz w:val="24"/>
          <w:szCs w:val="24"/>
        </w:rPr>
        <w:t>.</w:t>
      </w:r>
      <w:r w:rsidR="00222DA1">
        <w:rPr>
          <w:rFonts w:ascii="Times New Roman" w:hAnsi="Times New Roman" w:cs="Times New Roman"/>
          <w:sz w:val="24"/>
          <w:szCs w:val="24"/>
        </w:rPr>
        <w:t xml:space="preserve"> На данном этапе преждевременно вводить жесткие конструкции. Это относится и к вопросу о закреплении </w:t>
      </w:r>
      <w:r w:rsidR="004B685B">
        <w:rPr>
          <w:rFonts w:ascii="Times New Roman" w:hAnsi="Times New Roman" w:cs="Times New Roman"/>
          <w:sz w:val="24"/>
          <w:szCs w:val="24"/>
        </w:rPr>
        <w:t xml:space="preserve">однозначных </w:t>
      </w:r>
      <w:r w:rsidR="00222DA1">
        <w:rPr>
          <w:rFonts w:ascii="Times New Roman" w:hAnsi="Times New Roman" w:cs="Times New Roman"/>
          <w:sz w:val="24"/>
          <w:szCs w:val="24"/>
        </w:rPr>
        <w:t>вес</w:t>
      </w:r>
      <w:r w:rsidR="00B034C5">
        <w:rPr>
          <w:rFonts w:ascii="Times New Roman" w:hAnsi="Times New Roman" w:cs="Times New Roman"/>
          <w:sz w:val="24"/>
          <w:szCs w:val="24"/>
        </w:rPr>
        <w:t>овых значений</w:t>
      </w:r>
      <w:r w:rsidR="00222DA1">
        <w:rPr>
          <w:rFonts w:ascii="Times New Roman" w:hAnsi="Times New Roman" w:cs="Times New Roman"/>
          <w:sz w:val="24"/>
          <w:szCs w:val="24"/>
        </w:rPr>
        <w:t xml:space="preserve"> элементов в составе каждой компоненты </w:t>
      </w:r>
      <w:r w:rsidR="001475A4">
        <w:rPr>
          <w:rFonts w:ascii="Times New Roman" w:hAnsi="Times New Roman" w:cs="Times New Roman"/>
          <w:sz w:val="24"/>
          <w:szCs w:val="24"/>
        </w:rPr>
        <w:t>(</w:t>
      </w:r>
      <w:r w:rsidR="001475A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475A4">
        <w:rPr>
          <w:rFonts w:ascii="Times New Roman" w:hAnsi="Times New Roman" w:cs="Times New Roman"/>
          <w:sz w:val="24"/>
          <w:szCs w:val="24"/>
        </w:rPr>
        <w:t>,</w:t>
      </w:r>
      <w:r w:rsidR="001475A4" w:rsidRPr="001475A4">
        <w:rPr>
          <w:rFonts w:ascii="Times New Roman" w:hAnsi="Times New Roman" w:cs="Times New Roman"/>
          <w:sz w:val="24"/>
          <w:szCs w:val="24"/>
        </w:rPr>
        <w:t xml:space="preserve"> </w:t>
      </w:r>
      <w:r w:rsidR="001475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475A4">
        <w:rPr>
          <w:rFonts w:ascii="Times New Roman" w:hAnsi="Times New Roman" w:cs="Times New Roman"/>
          <w:sz w:val="24"/>
          <w:szCs w:val="24"/>
        </w:rPr>
        <w:t>,</w:t>
      </w:r>
      <w:r w:rsidR="001475A4" w:rsidRPr="001475A4">
        <w:rPr>
          <w:rFonts w:ascii="Times New Roman" w:hAnsi="Times New Roman" w:cs="Times New Roman"/>
          <w:sz w:val="24"/>
          <w:szCs w:val="24"/>
        </w:rPr>
        <w:t xml:space="preserve"> </w:t>
      </w:r>
      <w:r w:rsidR="001475A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1475A4">
        <w:rPr>
          <w:rFonts w:ascii="Times New Roman" w:hAnsi="Times New Roman" w:cs="Times New Roman"/>
          <w:sz w:val="24"/>
          <w:szCs w:val="24"/>
        </w:rPr>
        <w:t>).</w:t>
      </w:r>
      <w:r w:rsidR="004B685B">
        <w:rPr>
          <w:rFonts w:ascii="Times New Roman" w:hAnsi="Times New Roman" w:cs="Times New Roman"/>
          <w:sz w:val="24"/>
          <w:szCs w:val="24"/>
        </w:rPr>
        <w:t xml:space="preserve"> На данном этапе у составителей рейтингов здесь может быть определенная свобода, </w:t>
      </w:r>
      <w:r w:rsidR="000154E3">
        <w:rPr>
          <w:rFonts w:ascii="Times New Roman" w:hAnsi="Times New Roman" w:cs="Times New Roman"/>
          <w:sz w:val="24"/>
          <w:szCs w:val="24"/>
        </w:rPr>
        <w:t xml:space="preserve">используемые подходы и </w:t>
      </w:r>
      <w:r w:rsidR="004B685B">
        <w:rPr>
          <w:rFonts w:ascii="Times New Roman" w:hAnsi="Times New Roman" w:cs="Times New Roman"/>
          <w:sz w:val="24"/>
          <w:szCs w:val="24"/>
        </w:rPr>
        <w:t>оценки</w:t>
      </w:r>
      <w:r w:rsidR="000154E3">
        <w:rPr>
          <w:rFonts w:ascii="Times New Roman" w:hAnsi="Times New Roman" w:cs="Times New Roman"/>
          <w:sz w:val="24"/>
          <w:szCs w:val="24"/>
        </w:rPr>
        <w:t xml:space="preserve"> при этом должны</w:t>
      </w:r>
      <w:r w:rsidR="004B685B">
        <w:rPr>
          <w:rFonts w:ascii="Times New Roman" w:hAnsi="Times New Roman" w:cs="Times New Roman"/>
          <w:sz w:val="24"/>
          <w:szCs w:val="24"/>
        </w:rPr>
        <w:t xml:space="preserve"> бы</w:t>
      </w:r>
      <w:r w:rsidR="000154E3">
        <w:rPr>
          <w:rFonts w:ascii="Times New Roman" w:hAnsi="Times New Roman" w:cs="Times New Roman"/>
          <w:sz w:val="24"/>
          <w:szCs w:val="24"/>
        </w:rPr>
        <w:t>ть</w:t>
      </w:r>
      <w:r w:rsidR="004B685B">
        <w:rPr>
          <w:rFonts w:ascii="Times New Roman" w:hAnsi="Times New Roman" w:cs="Times New Roman"/>
          <w:sz w:val="24"/>
          <w:szCs w:val="24"/>
        </w:rPr>
        <w:t xml:space="preserve"> понятными.</w:t>
      </w:r>
      <w:r w:rsidR="00222DA1" w:rsidRPr="00222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4B8" w:rsidRDefault="008D34B8" w:rsidP="004E41D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C06" w:rsidRDefault="008D34B8" w:rsidP="004E41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C06">
        <w:rPr>
          <w:rFonts w:ascii="Times New Roman" w:hAnsi="Times New Roman" w:cs="Times New Roman"/>
          <w:sz w:val="24"/>
          <w:szCs w:val="24"/>
        </w:rPr>
        <w:t>Пр</w:t>
      </w:r>
      <w:r w:rsidRPr="00FF132D">
        <w:rPr>
          <w:rFonts w:ascii="Times New Roman" w:hAnsi="Times New Roman" w:cs="Times New Roman"/>
          <w:sz w:val="24"/>
          <w:szCs w:val="24"/>
        </w:rPr>
        <w:t xml:space="preserve">едлагаемая модельная методология выделяет </w:t>
      </w:r>
      <w:proofErr w:type="gramStart"/>
      <w:r w:rsidRPr="00FF132D">
        <w:rPr>
          <w:rFonts w:ascii="Times New Roman" w:hAnsi="Times New Roman" w:cs="Times New Roman"/>
          <w:sz w:val="24"/>
          <w:szCs w:val="24"/>
        </w:rPr>
        <w:t>значимые</w:t>
      </w:r>
      <w:proofErr w:type="gramEnd"/>
      <w:r w:rsidRPr="00FF132D">
        <w:rPr>
          <w:rFonts w:ascii="Times New Roman" w:hAnsi="Times New Roman" w:cs="Times New Roman"/>
          <w:sz w:val="24"/>
          <w:szCs w:val="24"/>
        </w:rPr>
        <w:t xml:space="preserve"> и универсальные для</w:t>
      </w:r>
    </w:p>
    <w:p w:rsidR="008D34B8" w:rsidRPr="004E41D6" w:rsidRDefault="008D34B8" w:rsidP="004E41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C06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4E41D6">
        <w:rPr>
          <w:rFonts w:ascii="Times New Roman" w:hAnsi="Times New Roman" w:cs="Times New Roman"/>
          <w:sz w:val="24"/>
          <w:szCs w:val="24"/>
        </w:rPr>
        <w:t>ESG</w:t>
      </w:r>
      <w:r w:rsidRPr="008D0C06">
        <w:rPr>
          <w:rFonts w:ascii="Times New Roman" w:hAnsi="Times New Roman" w:cs="Times New Roman"/>
          <w:sz w:val="24"/>
          <w:szCs w:val="24"/>
        </w:rPr>
        <w:t xml:space="preserve">-рейтинга факторы. </w:t>
      </w:r>
      <w:r w:rsidR="003B24AB" w:rsidRPr="008D0C06">
        <w:rPr>
          <w:rFonts w:ascii="Times New Roman" w:hAnsi="Times New Roman" w:cs="Times New Roman"/>
          <w:sz w:val="24"/>
          <w:szCs w:val="24"/>
        </w:rPr>
        <w:t xml:space="preserve">Представляется целесообразным </w:t>
      </w:r>
      <w:r w:rsidRPr="001441F7">
        <w:rPr>
          <w:rFonts w:ascii="Times New Roman" w:hAnsi="Times New Roman" w:cs="Times New Roman"/>
          <w:sz w:val="24"/>
          <w:szCs w:val="24"/>
        </w:rPr>
        <w:t xml:space="preserve">предусмотреть также возможность учета отраслевой специфики. </w:t>
      </w:r>
      <w:r w:rsidR="00DE7A31" w:rsidRPr="004E41D6">
        <w:rPr>
          <w:rFonts w:ascii="Times New Roman" w:hAnsi="Times New Roman" w:cs="Times New Roman"/>
          <w:sz w:val="24"/>
          <w:szCs w:val="24"/>
        </w:rPr>
        <w:t xml:space="preserve">Это может осуществляться, как через включения дополнительных специализированных показателей, так и на уровне значений весов, присваиваемых отдельным показателям, когда отраслевые особенности имеют существенное значение. </w:t>
      </w:r>
      <w:r w:rsidR="003B24AB" w:rsidRPr="004E41D6">
        <w:rPr>
          <w:rFonts w:ascii="Times New Roman" w:hAnsi="Times New Roman" w:cs="Times New Roman"/>
          <w:sz w:val="24"/>
          <w:szCs w:val="24"/>
        </w:rPr>
        <w:t xml:space="preserve">Было бы полезным </w:t>
      </w:r>
      <w:r w:rsidRPr="004E41D6">
        <w:rPr>
          <w:rFonts w:ascii="Times New Roman" w:hAnsi="Times New Roman" w:cs="Times New Roman"/>
          <w:sz w:val="24"/>
          <w:szCs w:val="24"/>
        </w:rPr>
        <w:t>вве</w:t>
      </w:r>
      <w:r w:rsidR="003B24AB" w:rsidRPr="004E41D6">
        <w:rPr>
          <w:rFonts w:ascii="Times New Roman" w:hAnsi="Times New Roman" w:cs="Times New Roman"/>
          <w:sz w:val="24"/>
          <w:szCs w:val="24"/>
        </w:rPr>
        <w:t xml:space="preserve">сти </w:t>
      </w:r>
      <w:r w:rsidRPr="004E41D6">
        <w:rPr>
          <w:rFonts w:ascii="Times New Roman" w:hAnsi="Times New Roman" w:cs="Times New Roman"/>
          <w:sz w:val="24"/>
          <w:szCs w:val="24"/>
        </w:rPr>
        <w:t>отраслев</w:t>
      </w:r>
      <w:r w:rsidR="003B24AB" w:rsidRPr="004E41D6">
        <w:rPr>
          <w:rFonts w:ascii="Times New Roman" w:hAnsi="Times New Roman" w:cs="Times New Roman"/>
          <w:sz w:val="24"/>
          <w:szCs w:val="24"/>
        </w:rPr>
        <w:t>ую</w:t>
      </w:r>
      <w:r w:rsidRPr="004E41D6"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="003B24AB" w:rsidRPr="004E41D6">
        <w:rPr>
          <w:rFonts w:ascii="Times New Roman" w:hAnsi="Times New Roman" w:cs="Times New Roman"/>
          <w:sz w:val="24"/>
          <w:szCs w:val="24"/>
        </w:rPr>
        <w:t>у</w:t>
      </w:r>
      <w:r w:rsidRPr="004E41D6">
        <w:rPr>
          <w:rFonts w:ascii="Times New Roman" w:hAnsi="Times New Roman" w:cs="Times New Roman"/>
          <w:sz w:val="24"/>
          <w:szCs w:val="24"/>
        </w:rPr>
        <w:t xml:space="preserve"> в модельную методологию, например, в виде резервного </w:t>
      </w:r>
      <w:r w:rsidR="00F332A5" w:rsidRPr="004E41D6">
        <w:rPr>
          <w:rFonts w:ascii="Times New Roman" w:hAnsi="Times New Roman" w:cs="Times New Roman"/>
          <w:sz w:val="24"/>
          <w:szCs w:val="24"/>
        </w:rPr>
        <w:t>перечня</w:t>
      </w:r>
      <w:r w:rsidRPr="004E41D6">
        <w:rPr>
          <w:rFonts w:ascii="Times New Roman" w:hAnsi="Times New Roman" w:cs="Times New Roman"/>
          <w:sz w:val="24"/>
          <w:szCs w:val="24"/>
        </w:rPr>
        <w:t xml:space="preserve"> показателей</w:t>
      </w:r>
      <w:r w:rsidR="00FF132D">
        <w:rPr>
          <w:rFonts w:ascii="Times New Roman" w:hAnsi="Times New Roman" w:cs="Times New Roman"/>
          <w:sz w:val="24"/>
          <w:szCs w:val="24"/>
        </w:rPr>
        <w:t>, либо в виде выставления оценок в зависимости от соотношения данных по оцениваемой компании со среднеотраслевыми показателями.</w:t>
      </w:r>
    </w:p>
    <w:p w:rsidR="004F7D47" w:rsidRDefault="004F7D47" w:rsidP="004E41D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C06" w:rsidRPr="001441F7" w:rsidRDefault="00FF132D" w:rsidP="004E41D6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7A55">
        <w:rPr>
          <w:rFonts w:ascii="Times New Roman" w:hAnsi="Times New Roman" w:cs="Times New Roman"/>
          <w:sz w:val="24"/>
          <w:szCs w:val="24"/>
        </w:rPr>
        <w:t xml:space="preserve">В </w:t>
      </w:r>
      <w:r w:rsidR="00E3183C" w:rsidRPr="00467A55">
        <w:rPr>
          <w:rFonts w:ascii="Times New Roman" w:hAnsi="Times New Roman" w:cs="Times New Roman"/>
          <w:sz w:val="24"/>
          <w:szCs w:val="24"/>
        </w:rPr>
        <w:t>связи с постановкой задачи о гармонизации рынка рейтингов нужно</w:t>
      </w:r>
    </w:p>
    <w:p w:rsidR="005A6E48" w:rsidRPr="004E41D6" w:rsidRDefault="0044401B" w:rsidP="004E41D6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0C06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EC10DD" w:rsidRPr="001441F7">
        <w:rPr>
          <w:rFonts w:ascii="Times New Roman" w:hAnsi="Times New Roman" w:cs="Times New Roman"/>
          <w:sz w:val="24"/>
          <w:szCs w:val="24"/>
        </w:rPr>
        <w:t>огласиться, что</w:t>
      </w:r>
      <w:r w:rsidR="0081257D" w:rsidRPr="004E41D6">
        <w:rPr>
          <w:rFonts w:ascii="Times New Roman" w:hAnsi="Times New Roman" w:cs="Times New Roman"/>
          <w:sz w:val="24"/>
          <w:szCs w:val="24"/>
        </w:rPr>
        <w:t xml:space="preserve"> потребность в </w:t>
      </w:r>
      <w:r w:rsidR="00E3183C" w:rsidRPr="004E41D6">
        <w:rPr>
          <w:rFonts w:ascii="Times New Roman" w:hAnsi="Times New Roman" w:cs="Times New Roman"/>
          <w:sz w:val="24"/>
          <w:szCs w:val="24"/>
        </w:rPr>
        <w:t>унификаци</w:t>
      </w:r>
      <w:r w:rsidR="0081257D" w:rsidRPr="004E41D6">
        <w:rPr>
          <w:rFonts w:ascii="Times New Roman" w:hAnsi="Times New Roman" w:cs="Times New Roman"/>
          <w:sz w:val="24"/>
          <w:szCs w:val="24"/>
        </w:rPr>
        <w:t>и</w:t>
      </w:r>
      <w:r w:rsidR="00E3183C" w:rsidRPr="004E41D6">
        <w:rPr>
          <w:rFonts w:ascii="Times New Roman" w:hAnsi="Times New Roman" w:cs="Times New Roman"/>
          <w:sz w:val="24"/>
          <w:szCs w:val="24"/>
        </w:rPr>
        <w:t xml:space="preserve"> определения </w:t>
      </w:r>
      <w:r w:rsidR="00E3183C" w:rsidRPr="004E41D6">
        <w:rPr>
          <w:rFonts w:ascii="Times New Roman" w:hAnsi="Times New Roman" w:cs="Times New Roman"/>
          <w:iCs/>
          <w:sz w:val="24"/>
          <w:szCs w:val="24"/>
        </w:rPr>
        <w:t>ESG-рейтингов</w:t>
      </w:r>
      <w:r w:rsidR="00EC10DD" w:rsidRPr="004E41D6">
        <w:rPr>
          <w:rFonts w:ascii="Times New Roman" w:hAnsi="Times New Roman" w:cs="Times New Roman"/>
          <w:iCs/>
          <w:sz w:val="24"/>
          <w:szCs w:val="24"/>
        </w:rPr>
        <w:t xml:space="preserve"> действительно существует</w:t>
      </w:r>
      <w:r w:rsidR="00E3183C" w:rsidRPr="004E41D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9458BC" w:rsidRPr="004E41D6">
        <w:rPr>
          <w:rFonts w:ascii="Times New Roman" w:hAnsi="Times New Roman" w:cs="Times New Roman"/>
          <w:iCs/>
          <w:sz w:val="24"/>
          <w:szCs w:val="24"/>
        </w:rPr>
        <w:t xml:space="preserve">Остается вопрос о </w:t>
      </w:r>
      <w:r w:rsidR="00E3183C" w:rsidRPr="004E41D6">
        <w:rPr>
          <w:rFonts w:ascii="Times New Roman" w:hAnsi="Times New Roman" w:cs="Times New Roman"/>
          <w:iCs/>
          <w:sz w:val="24"/>
          <w:szCs w:val="24"/>
        </w:rPr>
        <w:t xml:space="preserve">степени детализации этого определения. </w:t>
      </w:r>
      <w:r w:rsidR="0081257D" w:rsidRPr="004E41D6">
        <w:rPr>
          <w:rFonts w:ascii="Times New Roman" w:hAnsi="Times New Roman" w:cs="Times New Roman"/>
          <w:iCs/>
          <w:sz w:val="24"/>
          <w:szCs w:val="24"/>
        </w:rPr>
        <w:t>Возможно, с</w:t>
      </w:r>
      <w:r w:rsidR="00E3183C" w:rsidRPr="004E41D6">
        <w:rPr>
          <w:rFonts w:ascii="Times New Roman" w:hAnsi="Times New Roman" w:cs="Times New Roman"/>
          <w:iCs/>
          <w:sz w:val="24"/>
          <w:szCs w:val="24"/>
        </w:rPr>
        <w:t xml:space="preserve">ледует предложить унифицированное определение </w:t>
      </w:r>
      <w:r w:rsidR="006837FC" w:rsidRPr="004E41D6">
        <w:rPr>
          <w:rFonts w:ascii="Times New Roman" w:hAnsi="Times New Roman" w:cs="Times New Roman"/>
          <w:iCs/>
          <w:sz w:val="24"/>
          <w:szCs w:val="24"/>
        </w:rPr>
        <w:t>«</w:t>
      </w:r>
      <w:r w:rsidR="00E3183C" w:rsidRPr="004E41D6">
        <w:rPr>
          <w:rFonts w:ascii="Times New Roman" w:hAnsi="Times New Roman" w:cs="Times New Roman"/>
          <w:iCs/>
          <w:sz w:val="24"/>
          <w:szCs w:val="24"/>
        </w:rPr>
        <w:t>верхнего уровня</w:t>
      </w:r>
      <w:r w:rsidR="006837FC" w:rsidRPr="004E41D6">
        <w:rPr>
          <w:rFonts w:ascii="Times New Roman" w:hAnsi="Times New Roman" w:cs="Times New Roman"/>
          <w:iCs/>
          <w:sz w:val="24"/>
          <w:szCs w:val="24"/>
        </w:rPr>
        <w:t>»:</w:t>
      </w:r>
      <w:r w:rsidR="00E3183C" w:rsidRPr="004E41D6">
        <w:rPr>
          <w:rFonts w:ascii="Times New Roman" w:hAnsi="Times New Roman" w:cs="Times New Roman"/>
          <w:iCs/>
          <w:sz w:val="24"/>
          <w:szCs w:val="24"/>
        </w:rPr>
        <w:t xml:space="preserve"> фиксируется </w:t>
      </w:r>
      <w:r w:rsidR="00F87C99" w:rsidRPr="004E41D6">
        <w:rPr>
          <w:rFonts w:ascii="Times New Roman" w:hAnsi="Times New Roman" w:cs="Times New Roman"/>
          <w:iCs/>
          <w:sz w:val="24"/>
          <w:szCs w:val="24"/>
        </w:rPr>
        <w:t>полнота оценки</w:t>
      </w:r>
      <w:r w:rsidR="002C4C6F" w:rsidRPr="004E41D6">
        <w:rPr>
          <w:rFonts w:ascii="Times New Roman" w:hAnsi="Times New Roman" w:cs="Times New Roman"/>
          <w:iCs/>
          <w:sz w:val="24"/>
          <w:szCs w:val="24"/>
        </w:rPr>
        <w:t xml:space="preserve"> – возможность </w:t>
      </w:r>
      <w:r w:rsidR="00E3183C" w:rsidRPr="004E41D6">
        <w:rPr>
          <w:rFonts w:ascii="Times New Roman" w:hAnsi="Times New Roman" w:cs="Times New Roman"/>
          <w:iCs/>
          <w:sz w:val="24"/>
          <w:szCs w:val="24"/>
        </w:rPr>
        <w:t>комплексн</w:t>
      </w:r>
      <w:r w:rsidR="002C4C6F" w:rsidRPr="004E41D6">
        <w:rPr>
          <w:rFonts w:ascii="Times New Roman" w:hAnsi="Times New Roman" w:cs="Times New Roman"/>
          <w:iCs/>
          <w:sz w:val="24"/>
          <w:szCs w:val="24"/>
        </w:rPr>
        <w:t>ой сводной оценки</w:t>
      </w:r>
      <w:r w:rsidR="00E3183C" w:rsidRPr="004E41D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87C99" w:rsidRPr="004E41D6">
        <w:rPr>
          <w:rFonts w:ascii="Times New Roman" w:hAnsi="Times New Roman" w:cs="Times New Roman"/>
          <w:iCs/>
          <w:sz w:val="24"/>
          <w:szCs w:val="24"/>
        </w:rPr>
        <w:t>и по отде</w:t>
      </w:r>
      <w:r w:rsidR="002C4C6F" w:rsidRPr="004E41D6">
        <w:rPr>
          <w:rFonts w:ascii="Times New Roman" w:hAnsi="Times New Roman" w:cs="Times New Roman"/>
          <w:iCs/>
          <w:sz w:val="24"/>
          <w:szCs w:val="24"/>
        </w:rPr>
        <w:t>льным компонентам</w:t>
      </w:r>
      <w:r w:rsidR="006837FC" w:rsidRPr="004E41D6">
        <w:rPr>
          <w:rFonts w:ascii="Times New Roman" w:hAnsi="Times New Roman" w:cs="Times New Roman"/>
          <w:iCs/>
          <w:sz w:val="24"/>
          <w:szCs w:val="24"/>
        </w:rPr>
        <w:t xml:space="preserve">, а также </w:t>
      </w:r>
      <w:r w:rsidR="00D92351" w:rsidRPr="004E41D6">
        <w:rPr>
          <w:rFonts w:ascii="Times New Roman" w:hAnsi="Times New Roman" w:cs="Times New Roman"/>
          <w:iCs/>
          <w:sz w:val="24"/>
          <w:szCs w:val="24"/>
        </w:rPr>
        <w:t>существенность</w:t>
      </w:r>
      <w:r w:rsidR="006837FC" w:rsidRPr="004E41D6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 w:rsidR="00E3183C" w:rsidRPr="004E41D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837FC" w:rsidRPr="004E41D6">
        <w:rPr>
          <w:rFonts w:ascii="Times New Roman" w:hAnsi="Times New Roman" w:cs="Times New Roman"/>
          <w:iCs/>
          <w:sz w:val="24"/>
          <w:szCs w:val="24"/>
        </w:rPr>
        <w:t xml:space="preserve">по </w:t>
      </w:r>
      <w:r w:rsidR="00E3183C" w:rsidRPr="004E41D6">
        <w:rPr>
          <w:rFonts w:ascii="Times New Roman" w:hAnsi="Times New Roman" w:cs="Times New Roman"/>
          <w:iCs/>
          <w:sz w:val="24"/>
          <w:szCs w:val="24"/>
          <w:lang w:val="en-US"/>
        </w:rPr>
        <w:t>ESG</w:t>
      </w:r>
      <w:r w:rsidR="00E3183C" w:rsidRPr="004E41D6">
        <w:rPr>
          <w:rFonts w:ascii="Times New Roman" w:hAnsi="Times New Roman" w:cs="Times New Roman"/>
          <w:iCs/>
          <w:sz w:val="24"/>
          <w:szCs w:val="24"/>
        </w:rPr>
        <w:t xml:space="preserve"> факторам</w:t>
      </w:r>
      <w:r w:rsidR="00AD2963" w:rsidRPr="004E41D6">
        <w:rPr>
          <w:rFonts w:ascii="Times New Roman" w:hAnsi="Times New Roman" w:cs="Times New Roman"/>
          <w:iCs/>
          <w:sz w:val="24"/>
          <w:szCs w:val="24"/>
        </w:rPr>
        <w:t xml:space="preserve"> (профиль)</w:t>
      </w:r>
      <w:r w:rsidR="00E3183C" w:rsidRPr="004E41D6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E3183C" w:rsidRPr="004E41D6">
        <w:rPr>
          <w:rFonts w:ascii="Times New Roman" w:hAnsi="Times New Roman" w:cs="Times New Roman"/>
          <w:iCs/>
          <w:sz w:val="24"/>
          <w:szCs w:val="24"/>
          <w:lang w:val="en-US"/>
        </w:rPr>
        <w:t>ESG</w:t>
      </w:r>
      <w:r w:rsidR="00E3183C" w:rsidRPr="004E41D6">
        <w:rPr>
          <w:rFonts w:ascii="Times New Roman" w:hAnsi="Times New Roman" w:cs="Times New Roman"/>
          <w:iCs/>
          <w:sz w:val="24"/>
          <w:szCs w:val="24"/>
        </w:rPr>
        <w:t xml:space="preserve"> рискам</w:t>
      </w:r>
      <w:r w:rsidR="00A220EB" w:rsidRPr="004E41D6">
        <w:rPr>
          <w:rFonts w:ascii="Times New Roman" w:hAnsi="Times New Roman" w:cs="Times New Roman"/>
          <w:iCs/>
          <w:sz w:val="24"/>
          <w:szCs w:val="24"/>
        </w:rPr>
        <w:t>,</w:t>
      </w:r>
      <w:r w:rsidR="00E3183C" w:rsidRPr="004E41D6">
        <w:rPr>
          <w:rFonts w:ascii="Times New Roman" w:hAnsi="Times New Roman" w:cs="Times New Roman"/>
          <w:iCs/>
          <w:sz w:val="24"/>
          <w:szCs w:val="24"/>
        </w:rPr>
        <w:t xml:space="preserve"> не ограничив</w:t>
      </w:r>
      <w:r w:rsidR="00A55089" w:rsidRPr="004E41D6">
        <w:rPr>
          <w:rFonts w:ascii="Times New Roman" w:hAnsi="Times New Roman" w:cs="Times New Roman"/>
          <w:iCs/>
          <w:sz w:val="24"/>
          <w:szCs w:val="24"/>
        </w:rPr>
        <w:t>ая</w:t>
      </w:r>
      <w:r w:rsidR="00E3183C" w:rsidRPr="004E41D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20EB" w:rsidRPr="004E41D6">
        <w:rPr>
          <w:rFonts w:ascii="Times New Roman" w:hAnsi="Times New Roman" w:cs="Times New Roman"/>
          <w:iCs/>
          <w:sz w:val="24"/>
          <w:szCs w:val="24"/>
        </w:rPr>
        <w:t xml:space="preserve">при этом риски </w:t>
      </w:r>
      <w:r w:rsidR="00E3183C" w:rsidRPr="004E41D6">
        <w:rPr>
          <w:rFonts w:ascii="Times New Roman" w:hAnsi="Times New Roman" w:cs="Times New Roman"/>
          <w:iCs/>
          <w:sz w:val="24"/>
          <w:szCs w:val="24"/>
        </w:rPr>
        <w:t>какой-то одной компонентой</w:t>
      </w:r>
      <w:r w:rsidR="002A379F" w:rsidRPr="004E41D6">
        <w:rPr>
          <w:rFonts w:ascii="Times New Roman" w:hAnsi="Times New Roman" w:cs="Times New Roman"/>
          <w:iCs/>
          <w:sz w:val="24"/>
          <w:szCs w:val="24"/>
        </w:rPr>
        <w:t>, поскольку значимые риски с точки зрения устойчивого развития имеются в каждой из них</w:t>
      </w:r>
      <w:r w:rsidR="00E3183C" w:rsidRPr="004E41D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D21B18" w:rsidRPr="004E41D6">
        <w:rPr>
          <w:rFonts w:ascii="Times New Roman" w:hAnsi="Times New Roman" w:cs="Times New Roman"/>
          <w:iCs/>
          <w:sz w:val="24"/>
          <w:szCs w:val="24"/>
        </w:rPr>
        <w:t xml:space="preserve">Унифицированное определение </w:t>
      </w:r>
      <w:r w:rsidR="00D21B18" w:rsidRPr="004E41D6">
        <w:rPr>
          <w:rFonts w:ascii="Times New Roman" w:hAnsi="Times New Roman" w:cs="Times New Roman"/>
          <w:iCs/>
          <w:sz w:val="24"/>
          <w:szCs w:val="24"/>
          <w:lang w:val="en-US"/>
        </w:rPr>
        <w:t>ESG</w:t>
      </w:r>
      <w:r w:rsidR="00D21B18" w:rsidRPr="004E41D6">
        <w:rPr>
          <w:rFonts w:ascii="Times New Roman" w:hAnsi="Times New Roman" w:cs="Times New Roman"/>
          <w:iCs/>
          <w:sz w:val="24"/>
          <w:szCs w:val="24"/>
        </w:rPr>
        <w:t xml:space="preserve"> рейтинга применительно к отдельному рейтинговому инструменту </w:t>
      </w:r>
      <w:r w:rsidR="006E0954" w:rsidRPr="004E41D6">
        <w:rPr>
          <w:rFonts w:ascii="Times New Roman" w:hAnsi="Times New Roman" w:cs="Times New Roman"/>
          <w:iCs/>
          <w:sz w:val="24"/>
          <w:szCs w:val="24"/>
        </w:rPr>
        <w:t xml:space="preserve">в его индивидуальном </w:t>
      </w:r>
      <w:r w:rsidR="00BA0F69" w:rsidRPr="004E41D6">
        <w:rPr>
          <w:rFonts w:ascii="Times New Roman" w:hAnsi="Times New Roman" w:cs="Times New Roman"/>
          <w:iCs/>
          <w:sz w:val="24"/>
          <w:szCs w:val="24"/>
        </w:rPr>
        <w:t>описании</w:t>
      </w:r>
      <w:r w:rsidR="006E0954" w:rsidRPr="004E41D6">
        <w:rPr>
          <w:rFonts w:ascii="Times New Roman" w:hAnsi="Times New Roman" w:cs="Times New Roman"/>
          <w:iCs/>
          <w:sz w:val="24"/>
          <w:szCs w:val="24"/>
        </w:rPr>
        <w:t xml:space="preserve"> может содержать дополнительные детали</w:t>
      </w:r>
      <w:r w:rsidR="00BA0F69" w:rsidRPr="004E41D6">
        <w:rPr>
          <w:rFonts w:ascii="Times New Roman" w:hAnsi="Times New Roman" w:cs="Times New Roman"/>
          <w:iCs/>
          <w:sz w:val="24"/>
          <w:szCs w:val="24"/>
        </w:rPr>
        <w:t xml:space="preserve"> в развитие базового определения</w:t>
      </w:r>
      <w:r w:rsidR="006E0954" w:rsidRPr="004E41D6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="002B6027" w:rsidRPr="004E41D6">
        <w:rPr>
          <w:rFonts w:ascii="Times New Roman" w:hAnsi="Times New Roman" w:cs="Times New Roman"/>
          <w:iCs/>
          <w:sz w:val="24"/>
          <w:szCs w:val="24"/>
        </w:rPr>
        <w:t>зависимости от целевого назначения и особенностей методики</w:t>
      </w:r>
      <w:r w:rsidR="006E0954" w:rsidRPr="004E41D6">
        <w:rPr>
          <w:rFonts w:ascii="Times New Roman" w:hAnsi="Times New Roman" w:cs="Times New Roman"/>
          <w:iCs/>
          <w:sz w:val="24"/>
          <w:szCs w:val="24"/>
        </w:rPr>
        <w:t>.</w:t>
      </w:r>
      <w:r w:rsidR="002B6027" w:rsidRPr="004E41D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A379F" w:rsidRPr="004E41D6">
        <w:rPr>
          <w:rFonts w:ascii="Times New Roman" w:hAnsi="Times New Roman" w:cs="Times New Roman"/>
          <w:iCs/>
          <w:sz w:val="24"/>
          <w:szCs w:val="24"/>
        </w:rPr>
        <w:t>Такую опцию имеет смысл предусмотреть.</w:t>
      </w:r>
      <w:r w:rsidR="00154EDE" w:rsidRPr="004E41D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72AB9" w:rsidRPr="004E41D6">
        <w:rPr>
          <w:rFonts w:ascii="Times New Roman" w:hAnsi="Times New Roman" w:cs="Times New Roman"/>
          <w:iCs/>
          <w:sz w:val="24"/>
          <w:szCs w:val="24"/>
        </w:rPr>
        <w:t xml:space="preserve">В перспективе </w:t>
      </w:r>
      <w:r w:rsidR="00154EDE" w:rsidRPr="004E41D6">
        <w:rPr>
          <w:rFonts w:ascii="Times New Roman" w:hAnsi="Times New Roman" w:cs="Times New Roman"/>
          <w:iCs/>
          <w:sz w:val="24"/>
          <w:szCs w:val="24"/>
          <w:lang w:val="en-US"/>
        </w:rPr>
        <w:t>ESG</w:t>
      </w:r>
      <w:r w:rsidR="00154EDE" w:rsidRPr="004E41D6">
        <w:rPr>
          <w:rFonts w:ascii="Times New Roman" w:hAnsi="Times New Roman" w:cs="Times New Roman"/>
          <w:iCs/>
          <w:sz w:val="24"/>
          <w:szCs w:val="24"/>
        </w:rPr>
        <w:t>-рейтинг</w:t>
      </w:r>
      <w:r w:rsidR="006E0954" w:rsidRPr="004E41D6">
        <w:rPr>
          <w:rFonts w:ascii="Times New Roman" w:hAnsi="Times New Roman" w:cs="Times New Roman"/>
          <w:iCs/>
          <w:sz w:val="24"/>
          <w:szCs w:val="24"/>
        </w:rPr>
        <w:t>и</w:t>
      </w:r>
      <w:r w:rsidR="00154EDE" w:rsidRPr="004E41D6">
        <w:rPr>
          <w:rFonts w:ascii="Times New Roman" w:hAnsi="Times New Roman" w:cs="Times New Roman"/>
          <w:iCs/>
          <w:sz w:val="24"/>
          <w:szCs w:val="24"/>
        </w:rPr>
        <w:t>, основ</w:t>
      </w:r>
      <w:r w:rsidR="0081257D" w:rsidRPr="004E41D6">
        <w:rPr>
          <w:rFonts w:ascii="Times New Roman" w:hAnsi="Times New Roman" w:cs="Times New Roman"/>
          <w:iCs/>
          <w:sz w:val="24"/>
          <w:szCs w:val="24"/>
        </w:rPr>
        <w:t>ан</w:t>
      </w:r>
      <w:r w:rsidR="00372AB9" w:rsidRPr="004E41D6">
        <w:rPr>
          <w:rFonts w:ascii="Times New Roman" w:hAnsi="Times New Roman" w:cs="Times New Roman"/>
          <w:iCs/>
          <w:sz w:val="24"/>
          <w:szCs w:val="24"/>
        </w:rPr>
        <w:t>ные</w:t>
      </w:r>
      <w:r w:rsidR="0081257D" w:rsidRPr="004E41D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54EDE" w:rsidRPr="004E41D6">
        <w:rPr>
          <w:rFonts w:ascii="Times New Roman" w:hAnsi="Times New Roman" w:cs="Times New Roman"/>
          <w:iCs/>
          <w:sz w:val="24"/>
          <w:szCs w:val="24"/>
        </w:rPr>
        <w:t>на модельной методологи</w:t>
      </w:r>
      <w:r w:rsidR="0081257D" w:rsidRPr="004E41D6">
        <w:rPr>
          <w:rFonts w:ascii="Times New Roman" w:hAnsi="Times New Roman" w:cs="Times New Roman"/>
          <w:iCs/>
          <w:sz w:val="24"/>
          <w:szCs w:val="24"/>
        </w:rPr>
        <w:t>и</w:t>
      </w:r>
      <w:r w:rsidR="00154EDE" w:rsidRPr="004E41D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6E0954" w:rsidRPr="004E41D6">
        <w:rPr>
          <w:rFonts w:ascii="Times New Roman" w:hAnsi="Times New Roman" w:cs="Times New Roman"/>
          <w:iCs/>
          <w:sz w:val="24"/>
          <w:szCs w:val="24"/>
        </w:rPr>
        <w:t xml:space="preserve">будут иметь </w:t>
      </w:r>
      <w:r w:rsidR="00154EDE" w:rsidRPr="004E41D6">
        <w:rPr>
          <w:rFonts w:ascii="Times New Roman" w:hAnsi="Times New Roman" w:cs="Times New Roman"/>
          <w:iCs/>
          <w:sz w:val="24"/>
          <w:szCs w:val="24"/>
        </w:rPr>
        <w:t>общее определение</w:t>
      </w:r>
      <w:r w:rsidR="00D51027" w:rsidRPr="004E41D6">
        <w:rPr>
          <w:rFonts w:ascii="Times New Roman" w:hAnsi="Times New Roman" w:cs="Times New Roman"/>
          <w:iCs/>
          <w:sz w:val="24"/>
          <w:szCs w:val="24"/>
        </w:rPr>
        <w:t xml:space="preserve"> и целевое назначение</w:t>
      </w:r>
      <w:r w:rsidR="006E0954" w:rsidRPr="004E41D6">
        <w:rPr>
          <w:rFonts w:ascii="Times New Roman" w:hAnsi="Times New Roman" w:cs="Times New Roman"/>
          <w:iCs/>
          <w:sz w:val="24"/>
          <w:szCs w:val="24"/>
        </w:rPr>
        <w:t xml:space="preserve"> в регуляторной среде</w:t>
      </w:r>
      <w:r w:rsidR="00D51027" w:rsidRPr="004E41D6">
        <w:rPr>
          <w:rFonts w:ascii="Times New Roman" w:hAnsi="Times New Roman" w:cs="Times New Roman"/>
          <w:iCs/>
          <w:sz w:val="24"/>
          <w:szCs w:val="24"/>
        </w:rPr>
        <w:t xml:space="preserve">. Они займут свое место </w:t>
      </w:r>
      <w:r w:rsidR="00E02DE0" w:rsidRPr="004E41D6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81257D" w:rsidRPr="004E41D6">
        <w:rPr>
          <w:rFonts w:ascii="Times New Roman" w:hAnsi="Times New Roman" w:cs="Times New Roman"/>
          <w:iCs/>
          <w:sz w:val="24"/>
          <w:szCs w:val="24"/>
        </w:rPr>
        <w:t>более широкой палитре</w:t>
      </w:r>
      <w:r w:rsidR="00E02DE0" w:rsidRPr="004E41D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F03C9" w:rsidRPr="004E41D6">
        <w:rPr>
          <w:rFonts w:ascii="Times New Roman" w:hAnsi="Times New Roman" w:cs="Times New Roman"/>
          <w:iCs/>
          <w:sz w:val="24"/>
          <w:szCs w:val="24"/>
        </w:rPr>
        <w:t>инструментов оценки в поле</w:t>
      </w:r>
      <w:r w:rsidR="00E02DE0" w:rsidRPr="004E41D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02DE0" w:rsidRPr="004E41D6">
        <w:rPr>
          <w:rFonts w:ascii="Times New Roman" w:hAnsi="Times New Roman" w:cs="Times New Roman"/>
          <w:iCs/>
          <w:sz w:val="24"/>
          <w:szCs w:val="24"/>
          <w:lang w:val="en-US"/>
        </w:rPr>
        <w:t>ESG</w:t>
      </w:r>
      <w:r w:rsidR="000C7D42" w:rsidRPr="004E41D6">
        <w:rPr>
          <w:rFonts w:ascii="Times New Roman" w:hAnsi="Times New Roman" w:cs="Times New Roman"/>
          <w:iCs/>
          <w:sz w:val="24"/>
          <w:szCs w:val="24"/>
        </w:rPr>
        <w:t>, как комплексных, так и по отдельным компонентам</w:t>
      </w:r>
      <w:r w:rsidR="002F03C9" w:rsidRPr="004E41D6">
        <w:rPr>
          <w:rFonts w:ascii="Times New Roman" w:hAnsi="Times New Roman" w:cs="Times New Roman"/>
          <w:iCs/>
          <w:sz w:val="24"/>
          <w:szCs w:val="24"/>
        </w:rPr>
        <w:t>.</w:t>
      </w:r>
      <w:r w:rsidR="00E02DE0" w:rsidRPr="004E41D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A6E48" w:rsidRDefault="005A6E48" w:rsidP="004E41D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D0C06" w:rsidRDefault="00CA5445" w:rsidP="004E41D6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B89">
        <w:rPr>
          <w:rFonts w:ascii="Times New Roman" w:hAnsi="Times New Roman" w:cs="Times New Roman"/>
          <w:sz w:val="24"/>
          <w:szCs w:val="24"/>
        </w:rPr>
        <w:t>П</w:t>
      </w:r>
      <w:r w:rsidRPr="008D0C06">
        <w:rPr>
          <w:rFonts w:ascii="Times New Roman" w:hAnsi="Times New Roman" w:cs="Times New Roman"/>
          <w:sz w:val="24"/>
          <w:szCs w:val="24"/>
        </w:rPr>
        <w:t>отребность в тех или иных ESG-рейтингах или оценках и формате этих оценок</w:t>
      </w:r>
    </w:p>
    <w:p w:rsidR="00AA385C" w:rsidRPr="004E41D6" w:rsidRDefault="00CA5445" w:rsidP="004E41D6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1D6">
        <w:rPr>
          <w:rFonts w:ascii="Times New Roman" w:hAnsi="Times New Roman" w:cs="Times New Roman"/>
          <w:sz w:val="24"/>
          <w:szCs w:val="24"/>
        </w:rPr>
        <w:t xml:space="preserve">должна определяться участниками рынка и </w:t>
      </w:r>
      <w:r w:rsidR="009D74C1" w:rsidRPr="004E41D6">
        <w:rPr>
          <w:rFonts w:ascii="Times New Roman" w:hAnsi="Times New Roman" w:cs="Times New Roman"/>
          <w:sz w:val="24"/>
          <w:szCs w:val="24"/>
        </w:rPr>
        <w:t>целями/задачами использования</w:t>
      </w:r>
      <w:r w:rsidR="00783F63" w:rsidRPr="004E41D6">
        <w:rPr>
          <w:rFonts w:ascii="Times New Roman" w:hAnsi="Times New Roman" w:cs="Times New Roman"/>
          <w:sz w:val="24"/>
          <w:szCs w:val="24"/>
        </w:rPr>
        <w:t xml:space="preserve">, </w:t>
      </w:r>
      <w:r w:rsidR="0076356C" w:rsidRPr="004E41D6">
        <w:rPr>
          <w:rFonts w:ascii="Times New Roman" w:hAnsi="Times New Roman" w:cs="Times New Roman"/>
          <w:sz w:val="24"/>
          <w:szCs w:val="24"/>
        </w:rPr>
        <w:t xml:space="preserve">разные системы оценок </w:t>
      </w:r>
      <w:r w:rsidR="00783F63" w:rsidRPr="004E41D6">
        <w:rPr>
          <w:rFonts w:ascii="Times New Roman" w:hAnsi="Times New Roman" w:cs="Times New Roman"/>
          <w:sz w:val="24"/>
          <w:szCs w:val="24"/>
        </w:rPr>
        <w:t>могут быть востребованы</w:t>
      </w:r>
      <w:r w:rsidR="0076356C" w:rsidRPr="004E41D6">
        <w:rPr>
          <w:rFonts w:ascii="Times New Roman" w:hAnsi="Times New Roman" w:cs="Times New Roman"/>
          <w:sz w:val="24"/>
          <w:szCs w:val="24"/>
        </w:rPr>
        <w:t>, в том числе, и в регуляторной среде</w:t>
      </w:r>
      <w:r w:rsidR="009D74C1" w:rsidRPr="004E41D6">
        <w:rPr>
          <w:rFonts w:ascii="Times New Roman" w:hAnsi="Times New Roman" w:cs="Times New Roman"/>
          <w:sz w:val="24"/>
          <w:szCs w:val="24"/>
        </w:rPr>
        <w:t>.</w:t>
      </w:r>
      <w:r w:rsidRPr="004E41D6">
        <w:rPr>
          <w:rFonts w:ascii="Times New Roman" w:hAnsi="Times New Roman" w:cs="Times New Roman"/>
          <w:sz w:val="24"/>
          <w:szCs w:val="24"/>
        </w:rPr>
        <w:t xml:space="preserve"> </w:t>
      </w:r>
      <w:r w:rsidR="009D74C1" w:rsidRPr="004E41D6">
        <w:rPr>
          <w:rFonts w:ascii="Times New Roman" w:hAnsi="Times New Roman" w:cs="Times New Roman"/>
          <w:sz w:val="24"/>
          <w:szCs w:val="24"/>
        </w:rPr>
        <w:t>Представляется целесообразным сохранять разнообразие инструментов</w:t>
      </w:r>
      <w:r w:rsidR="0076356C" w:rsidRPr="004E41D6">
        <w:rPr>
          <w:rFonts w:ascii="Times New Roman" w:hAnsi="Times New Roman" w:cs="Times New Roman"/>
          <w:sz w:val="24"/>
          <w:szCs w:val="24"/>
        </w:rPr>
        <w:t xml:space="preserve"> оценки</w:t>
      </w:r>
      <w:r w:rsidR="009D74C1" w:rsidRPr="004E41D6">
        <w:rPr>
          <w:rFonts w:ascii="Times New Roman" w:hAnsi="Times New Roman" w:cs="Times New Roman"/>
          <w:sz w:val="24"/>
          <w:szCs w:val="24"/>
        </w:rPr>
        <w:t xml:space="preserve">, которые могут отвечать разным задачам.  </w:t>
      </w:r>
    </w:p>
    <w:p w:rsidR="00AA1725" w:rsidRDefault="007270B1" w:rsidP="004E41D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D74C1">
        <w:rPr>
          <w:rFonts w:ascii="Times New Roman" w:hAnsi="Times New Roman" w:cs="Times New Roman"/>
          <w:sz w:val="24"/>
          <w:szCs w:val="24"/>
        </w:rPr>
        <w:t>ажным</w:t>
      </w:r>
      <w:r>
        <w:rPr>
          <w:rFonts w:ascii="Times New Roman" w:hAnsi="Times New Roman" w:cs="Times New Roman"/>
          <w:sz w:val="24"/>
          <w:szCs w:val="24"/>
        </w:rPr>
        <w:t xml:space="preserve"> условием</w:t>
      </w:r>
      <w:r w:rsidR="009D74C1">
        <w:rPr>
          <w:rFonts w:ascii="Times New Roman" w:hAnsi="Times New Roman" w:cs="Times New Roman"/>
          <w:sz w:val="24"/>
          <w:szCs w:val="24"/>
        </w:rPr>
        <w:t xml:space="preserve"> для гармонизаци</w:t>
      </w:r>
      <w:r w:rsidR="00AA385C">
        <w:rPr>
          <w:rFonts w:ascii="Times New Roman" w:hAnsi="Times New Roman" w:cs="Times New Roman"/>
          <w:sz w:val="24"/>
          <w:szCs w:val="24"/>
        </w:rPr>
        <w:t>и</w:t>
      </w:r>
      <w:r w:rsidR="009D74C1">
        <w:rPr>
          <w:rFonts w:ascii="Times New Roman" w:hAnsi="Times New Roman" w:cs="Times New Roman"/>
          <w:sz w:val="24"/>
          <w:szCs w:val="24"/>
        </w:rPr>
        <w:t xml:space="preserve"> рынка, повышения доверия к оценкам остается задача распространения внутри сообщества оценивающих организаций основных общеприменимых </w:t>
      </w:r>
      <w:r w:rsidR="009D74C1" w:rsidRPr="00BD0476">
        <w:rPr>
          <w:rFonts w:ascii="Times New Roman" w:hAnsi="Times New Roman" w:cs="Times New Roman"/>
          <w:sz w:val="24"/>
          <w:szCs w:val="24"/>
        </w:rPr>
        <w:t>принципов организации деятельности</w:t>
      </w:r>
      <w:r w:rsidR="009D74C1">
        <w:rPr>
          <w:rFonts w:ascii="Times New Roman" w:hAnsi="Times New Roman" w:cs="Times New Roman"/>
          <w:sz w:val="24"/>
          <w:szCs w:val="24"/>
        </w:rPr>
        <w:t xml:space="preserve"> </w:t>
      </w:r>
      <w:r w:rsidR="009D74C1" w:rsidRPr="00F90293">
        <w:rPr>
          <w:rFonts w:ascii="Times New Roman" w:hAnsi="Times New Roman" w:cs="Times New Roman"/>
          <w:sz w:val="24"/>
          <w:szCs w:val="24"/>
        </w:rPr>
        <w:t xml:space="preserve">по составлению </w:t>
      </w:r>
      <w:r w:rsidR="009D74C1" w:rsidRPr="00F90293">
        <w:rPr>
          <w:rFonts w:ascii="Times New Roman" w:hAnsi="Times New Roman" w:cs="Times New Roman"/>
          <w:sz w:val="24"/>
          <w:szCs w:val="24"/>
          <w:lang w:val="en-US"/>
        </w:rPr>
        <w:t>ESG</w:t>
      </w:r>
      <w:r w:rsidR="009D74C1">
        <w:rPr>
          <w:rFonts w:ascii="Times New Roman" w:hAnsi="Times New Roman" w:cs="Times New Roman"/>
          <w:sz w:val="24"/>
          <w:szCs w:val="24"/>
        </w:rPr>
        <w:t xml:space="preserve"> </w:t>
      </w:r>
      <w:r w:rsidR="00F23B89">
        <w:rPr>
          <w:rFonts w:ascii="Times New Roman" w:hAnsi="Times New Roman" w:cs="Times New Roman"/>
          <w:sz w:val="24"/>
          <w:szCs w:val="24"/>
        </w:rPr>
        <w:t>–</w:t>
      </w:r>
      <w:r w:rsidR="009D74C1" w:rsidRPr="00F90293">
        <w:rPr>
          <w:rFonts w:ascii="Times New Roman" w:hAnsi="Times New Roman" w:cs="Times New Roman"/>
          <w:sz w:val="24"/>
          <w:szCs w:val="24"/>
        </w:rPr>
        <w:t xml:space="preserve"> рейтингов</w:t>
      </w:r>
      <w:r w:rsidR="00F23B89">
        <w:rPr>
          <w:rFonts w:ascii="Times New Roman" w:hAnsi="Times New Roman" w:cs="Times New Roman"/>
          <w:sz w:val="24"/>
          <w:szCs w:val="24"/>
        </w:rPr>
        <w:t xml:space="preserve">, </w:t>
      </w:r>
      <w:r w:rsidR="009D74C1">
        <w:rPr>
          <w:rFonts w:ascii="Times New Roman" w:hAnsi="Times New Roman" w:cs="Times New Roman"/>
          <w:sz w:val="24"/>
          <w:szCs w:val="24"/>
        </w:rPr>
        <w:t xml:space="preserve">индексов, </w:t>
      </w:r>
      <w:proofErr w:type="spellStart"/>
      <w:r w:rsidR="009D74C1">
        <w:rPr>
          <w:rFonts w:ascii="Times New Roman" w:hAnsi="Times New Roman" w:cs="Times New Roman"/>
          <w:sz w:val="24"/>
          <w:szCs w:val="24"/>
        </w:rPr>
        <w:t>рэнкингов</w:t>
      </w:r>
      <w:proofErr w:type="spellEnd"/>
      <w:r w:rsidR="009D74C1" w:rsidRPr="00F90293">
        <w:rPr>
          <w:rFonts w:ascii="Times New Roman" w:hAnsi="Times New Roman" w:cs="Times New Roman"/>
          <w:sz w:val="24"/>
          <w:szCs w:val="24"/>
        </w:rPr>
        <w:t xml:space="preserve"> </w:t>
      </w:r>
      <w:r w:rsidR="009D74C1">
        <w:rPr>
          <w:rFonts w:ascii="Times New Roman" w:hAnsi="Times New Roman" w:cs="Times New Roman"/>
          <w:sz w:val="24"/>
          <w:szCs w:val="24"/>
        </w:rPr>
        <w:t xml:space="preserve">- </w:t>
      </w:r>
      <w:r w:rsidR="009D74C1" w:rsidRPr="00F90293">
        <w:rPr>
          <w:rFonts w:ascii="Times New Roman" w:hAnsi="Times New Roman" w:cs="Times New Roman"/>
          <w:sz w:val="24"/>
          <w:szCs w:val="24"/>
        </w:rPr>
        <w:t>открытость методологии и результатов оценки, четкость определения целей, задач, предмета и критериев оценки</w:t>
      </w:r>
      <w:r w:rsidR="00A3034E">
        <w:rPr>
          <w:rFonts w:ascii="Times New Roman" w:hAnsi="Times New Roman" w:cs="Times New Roman"/>
          <w:sz w:val="24"/>
          <w:szCs w:val="24"/>
        </w:rPr>
        <w:t>, возможность верификации результатов оценки и пр.</w:t>
      </w:r>
      <w:r w:rsidR="009D74C1">
        <w:rPr>
          <w:rFonts w:ascii="Times New Roman" w:hAnsi="Times New Roman" w:cs="Times New Roman"/>
          <w:sz w:val="24"/>
          <w:szCs w:val="24"/>
        </w:rPr>
        <w:t xml:space="preserve"> </w:t>
      </w:r>
      <w:r w:rsidR="0044401B">
        <w:rPr>
          <w:rFonts w:ascii="Times New Roman" w:hAnsi="Times New Roman" w:cs="Times New Roman"/>
          <w:sz w:val="24"/>
          <w:szCs w:val="24"/>
        </w:rPr>
        <w:t>К а</w:t>
      </w:r>
      <w:r w:rsidR="00AA1725">
        <w:rPr>
          <w:rFonts w:ascii="Times New Roman" w:hAnsi="Times New Roman" w:cs="Times New Roman"/>
          <w:sz w:val="24"/>
          <w:szCs w:val="24"/>
        </w:rPr>
        <w:t>ктуальн</w:t>
      </w:r>
      <w:r w:rsidR="0044401B">
        <w:rPr>
          <w:rFonts w:ascii="Times New Roman" w:hAnsi="Times New Roman" w:cs="Times New Roman"/>
          <w:sz w:val="24"/>
          <w:szCs w:val="24"/>
        </w:rPr>
        <w:t>ым</w:t>
      </w:r>
      <w:r w:rsidR="00AA1725">
        <w:rPr>
          <w:rFonts w:ascii="Times New Roman" w:hAnsi="Times New Roman" w:cs="Times New Roman"/>
          <w:sz w:val="24"/>
          <w:szCs w:val="24"/>
        </w:rPr>
        <w:t xml:space="preserve"> задача</w:t>
      </w:r>
      <w:r w:rsidR="0044401B">
        <w:rPr>
          <w:rFonts w:ascii="Times New Roman" w:hAnsi="Times New Roman" w:cs="Times New Roman"/>
          <w:sz w:val="24"/>
          <w:szCs w:val="24"/>
        </w:rPr>
        <w:t>м</w:t>
      </w:r>
      <w:r w:rsidR="00AA1725">
        <w:rPr>
          <w:rFonts w:ascii="Times New Roman" w:hAnsi="Times New Roman" w:cs="Times New Roman"/>
          <w:sz w:val="24"/>
          <w:szCs w:val="24"/>
        </w:rPr>
        <w:t xml:space="preserve"> </w:t>
      </w:r>
      <w:r w:rsidR="0044401B">
        <w:rPr>
          <w:rFonts w:ascii="Times New Roman" w:hAnsi="Times New Roman" w:cs="Times New Roman"/>
          <w:sz w:val="24"/>
          <w:szCs w:val="24"/>
        </w:rPr>
        <w:t xml:space="preserve">относятся </w:t>
      </w:r>
      <w:r w:rsidR="00AA1725">
        <w:rPr>
          <w:rFonts w:ascii="Times New Roman" w:hAnsi="Times New Roman" w:cs="Times New Roman"/>
          <w:sz w:val="24"/>
          <w:szCs w:val="24"/>
        </w:rPr>
        <w:t>также определени</w:t>
      </w:r>
      <w:r w:rsidR="0044401B">
        <w:rPr>
          <w:rFonts w:ascii="Times New Roman" w:hAnsi="Times New Roman" w:cs="Times New Roman"/>
          <w:sz w:val="24"/>
          <w:szCs w:val="24"/>
        </w:rPr>
        <w:t>е</w:t>
      </w:r>
      <w:r w:rsidR="00AA1725">
        <w:rPr>
          <w:rFonts w:ascii="Times New Roman" w:hAnsi="Times New Roman" w:cs="Times New Roman"/>
          <w:sz w:val="24"/>
          <w:szCs w:val="24"/>
        </w:rPr>
        <w:t xml:space="preserve"> нео</w:t>
      </w:r>
      <w:r w:rsidR="008C47B7">
        <w:rPr>
          <w:rFonts w:ascii="Times New Roman" w:hAnsi="Times New Roman" w:cs="Times New Roman"/>
          <w:sz w:val="24"/>
          <w:szCs w:val="24"/>
        </w:rPr>
        <w:t>б</w:t>
      </w:r>
      <w:r w:rsidR="00AA1725">
        <w:rPr>
          <w:rFonts w:ascii="Times New Roman" w:hAnsi="Times New Roman" w:cs="Times New Roman"/>
          <w:sz w:val="24"/>
          <w:szCs w:val="24"/>
        </w:rPr>
        <w:t xml:space="preserve">ходимого и достаточного </w:t>
      </w:r>
      <w:r w:rsidR="008C47B7">
        <w:rPr>
          <w:rFonts w:ascii="Times New Roman" w:hAnsi="Times New Roman" w:cs="Times New Roman"/>
          <w:sz w:val="24"/>
          <w:szCs w:val="24"/>
        </w:rPr>
        <w:t>у</w:t>
      </w:r>
      <w:r w:rsidR="00AA1725">
        <w:rPr>
          <w:rFonts w:ascii="Times New Roman" w:hAnsi="Times New Roman" w:cs="Times New Roman"/>
          <w:sz w:val="24"/>
          <w:szCs w:val="24"/>
        </w:rPr>
        <w:t>ровня раскрытия информаци</w:t>
      </w:r>
      <w:r w:rsidR="00197C4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197C4E">
        <w:rPr>
          <w:rFonts w:ascii="Times New Roman" w:hAnsi="Times New Roman" w:cs="Times New Roman"/>
          <w:sz w:val="24"/>
          <w:szCs w:val="24"/>
        </w:rPr>
        <w:t>рейтингующими</w:t>
      </w:r>
      <w:proofErr w:type="spellEnd"/>
      <w:r w:rsidR="00197C4E">
        <w:rPr>
          <w:rFonts w:ascii="Times New Roman" w:hAnsi="Times New Roman" w:cs="Times New Roman"/>
          <w:sz w:val="24"/>
          <w:szCs w:val="24"/>
        </w:rPr>
        <w:t xml:space="preserve"> организациями</w:t>
      </w:r>
      <w:r w:rsidR="008C47B7">
        <w:rPr>
          <w:rFonts w:ascii="Times New Roman" w:hAnsi="Times New Roman" w:cs="Times New Roman"/>
          <w:sz w:val="24"/>
          <w:szCs w:val="24"/>
        </w:rPr>
        <w:t>, выработк</w:t>
      </w:r>
      <w:r w:rsidR="0044401B">
        <w:rPr>
          <w:rFonts w:ascii="Times New Roman" w:hAnsi="Times New Roman" w:cs="Times New Roman"/>
          <w:sz w:val="24"/>
          <w:szCs w:val="24"/>
        </w:rPr>
        <w:t>а</w:t>
      </w:r>
      <w:r w:rsidR="008C47B7">
        <w:rPr>
          <w:rFonts w:ascii="Times New Roman" w:hAnsi="Times New Roman" w:cs="Times New Roman"/>
          <w:sz w:val="24"/>
          <w:szCs w:val="24"/>
        </w:rPr>
        <w:t xml:space="preserve"> понятного для внешних пользователей формата представления методологии</w:t>
      </w:r>
      <w:r w:rsidR="00197C4E">
        <w:rPr>
          <w:rFonts w:ascii="Times New Roman" w:hAnsi="Times New Roman" w:cs="Times New Roman"/>
          <w:sz w:val="24"/>
          <w:szCs w:val="24"/>
        </w:rPr>
        <w:t xml:space="preserve"> и данных</w:t>
      </w:r>
      <w:r w:rsidR="008C47B7">
        <w:rPr>
          <w:rFonts w:ascii="Times New Roman" w:hAnsi="Times New Roman" w:cs="Times New Roman"/>
          <w:sz w:val="24"/>
          <w:szCs w:val="24"/>
        </w:rPr>
        <w:t xml:space="preserve">. </w:t>
      </w:r>
      <w:r w:rsidR="00AA17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74C1" w:rsidRDefault="00A3034E" w:rsidP="004E41D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D74C1">
        <w:rPr>
          <w:rFonts w:ascii="Times New Roman" w:hAnsi="Times New Roman" w:cs="Times New Roman"/>
          <w:sz w:val="24"/>
          <w:szCs w:val="24"/>
        </w:rPr>
        <w:t xml:space="preserve"> докладе  Банка России </w:t>
      </w:r>
      <w:r>
        <w:rPr>
          <w:rFonts w:ascii="Times New Roman" w:hAnsi="Times New Roman" w:cs="Times New Roman"/>
          <w:sz w:val="24"/>
          <w:szCs w:val="24"/>
        </w:rPr>
        <w:t>эти вопросы поставлены</w:t>
      </w:r>
      <w:r w:rsidR="009D74C1">
        <w:rPr>
          <w:rFonts w:ascii="Times New Roman" w:hAnsi="Times New Roman" w:cs="Times New Roman"/>
          <w:sz w:val="24"/>
          <w:szCs w:val="24"/>
        </w:rPr>
        <w:t xml:space="preserve">, акценты можно усилить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D74C1">
        <w:rPr>
          <w:rFonts w:ascii="Times New Roman" w:hAnsi="Times New Roman" w:cs="Times New Roman"/>
          <w:sz w:val="24"/>
          <w:szCs w:val="24"/>
        </w:rPr>
        <w:t>рекомендовать</w:t>
      </w:r>
      <w:r>
        <w:rPr>
          <w:rFonts w:ascii="Times New Roman" w:hAnsi="Times New Roman" w:cs="Times New Roman"/>
          <w:sz w:val="24"/>
          <w:szCs w:val="24"/>
        </w:rPr>
        <w:t xml:space="preserve"> рейтинговым агентствам совместно с другими заинтересованными организациями</w:t>
      </w:r>
      <w:r w:rsidR="009D74C1">
        <w:rPr>
          <w:rFonts w:ascii="Times New Roman" w:hAnsi="Times New Roman" w:cs="Times New Roman"/>
          <w:sz w:val="24"/>
          <w:szCs w:val="24"/>
        </w:rPr>
        <w:t xml:space="preserve"> разработ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9D74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соответствующий Этический кодекс </w:t>
      </w:r>
      <w:r w:rsidR="009D74C1">
        <w:rPr>
          <w:rFonts w:ascii="Times New Roman" w:hAnsi="Times New Roman" w:cs="Times New Roman"/>
          <w:sz w:val="24"/>
          <w:szCs w:val="24"/>
        </w:rPr>
        <w:t>и внедр</w:t>
      </w:r>
      <w:r>
        <w:rPr>
          <w:rFonts w:ascii="Times New Roman" w:hAnsi="Times New Roman" w:cs="Times New Roman"/>
          <w:sz w:val="24"/>
          <w:szCs w:val="24"/>
        </w:rPr>
        <w:t>ять его в деятельность.</w:t>
      </w:r>
      <w:r w:rsidR="00D15980">
        <w:rPr>
          <w:rFonts w:ascii="Times New Roman" w:hAnsi="Times New Roman" w:cs="Times New Roman"/>
          <w:sz w:val="24"/>
          <w:szCs w:val="24"/>
        </w:rPr>
        <w:t xml:space="preserve"> Остаются открытыми и вопросы саморегулирования, их </w:t>
      </w:r>
      <w:r w:rsidR="007F7D04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D15980">
        <w:rPr>
          <w:rFonts w:ascii="Times New Roman" w:hAnsi="Times New Roman" w:cs="Times New Roman"/>
          <w:sz w:val="24"/>
          <w:szCs w:val="24"/>
        </w:rPr>
        <w:t xml:space="preserve">важно обозначить. </w:t>
      </w:r>
    </w:p>
    <w:p w:rsidR="00552872" w:rsidRDefault="00552872" w:rsidP="004E41D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C06" w:rsidRDefault="00905C8B" w:rsidP="004E41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3B89">
        <w:rPr>
          <w:rFonts w:ascii="Times New Roman" w:hAnsi="Times New Roman" w:cs="Times New Roman"/>
          <w:sz w:val="24"/>
          <w:szCs w:val="24"/>
        </w:rPr>
        <w:t>Сводный</w:t>
      </w:r>
      <w:proofErr w:type="gramEnd"/>
      <w:r w:rsidR="00A70BF0" w:rsidRPr="00F23B89">
        <w:rPr>
          <w:rFonts w:ascii="Times New Roman" w:hAnsi="Times New Roman" w:cs="Times New Roman"/>
          <w:sz w:val="24"/>
          <w:szCs w:val="24"/>
        </w:rPr>
        <w:t xml:space="preserve"> (интегральный)</w:t>
      </w:r>
      <w:r w:rsidRPr="00F23B89">
        <w:rPr>
          <w:rFonts w:ascii="Times New Roman" w:hAnsi="Times New Roman" w:cs="Times New Roman"/>
          <w:sz w:val="24"/>
          <w:szCs w:val="24"/>
        </w:rPr>
        <w:t xml:space="preserve"> </w:t>
      </w:r>
      <w:r w:rsidRPr="004E41D6">
        <w:rPr>
          <w:rFonts w:ascii="Times New Roman" w:hAnsi="Times New Roman" w:cs="Times New Roman"/>
          <w:sz w:val="24"/>
          <w:szCs w:val="24"/>
        </w:rPr>
        <w:t>ESG</w:t>
      </w:r>
      <w:r w:rsidRPr="00F23B89">
        <w:rPr>
          <w:rFonts w:ascii="Times New Roman" w:hAnsi="Times New Roman" w:cs="Times New Roman"/>
          <w:sz w:val="24"/>
          <w:szCs w:val="24"/>
        </w:rPr>
        <w:t xml:space="preserve">-рейтинг является важным инструментом </w:t>
      </w:r>
      <w:r w:rsidR="00CC7527" w:rsidRPr="00F23B89">
        <w:rPr>
          <w:rFonts w:ascii="Times New Roman" w:hAnsi="Times New Roman" w:cs="Times New Roman"/>
          <w:sz w:val="24"/>
          <w:szCs w:val="24"/>
        </w:rPr>
        <w:t>оценки</w:t>
      </w:r>
    </w:p>
    <w:p w:rsidR="002D0487" w:rsidRPr="004E41D6" w:rsidRDefault="00F332A5" w:rsidP="004E41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41F7">
        <w:rPr>
          <w:rFonts w:ascii="Times New Roman" w:hAnsi="Times New Roman" w:cs="Times New Roman"/>
          <w:sz w:val="24"/>
          <w:szCs w:val="24"/>
        </w:rPr>
        <w:t>компаний</w:t>
      </w:r>
      <w:r w:rsidR="00860A07" w:rsidRPr="004E41D6">
        <w:rPr>
          <w:rFonts w:ascii="Times New Roman" w:hAnsi="Times New Roman" w:cs="Times New Roman"/>
          <w:sz w:val="24"/>
          <w:szCs w:val="24"/>
        </w:rPr>
        <w:t xml:space="preserve"> и </w:t>
      </w:r>
      <w:r w:rsidR="00905C8B" w:rsidRPr="004E41D6">
        <w:rPr>
          <w:rFonts w:ascii="Times New Roman" w:hAnsi="Times New Roman" w:cs="Times New Roman"/>
          <w:sz w:val="24"/>
          <w:szCs w:val="24"/>
        </w:rPr>
        <w:t>коммуникации с</w:t>
      </w:r>
      <w:r w:rsidR="00860A07" w:rsidRPr="004E41D6">
        <w:rPr>
          <w:rFonts w:ascii="Times New Roman" w:hAnsi="Times New Roman" w:cs="Times New Roman"/>
          <w:sz w:val="24"/>
          <w:szCs w:val="24"/>
        </w:rPr>
        <w:t xml:space="preserve"> </w:t>
      </w:r>
      <w:r w:rsidR="00905C8B" w:rsidRPr="004E41D6">
        <w:rPr>
          <w:rFonts w:ascii="Times New Roman" w:hAnsi="Times New Roman" w:cs="Times New Roman"/>
          <w:sz w:val="24"/>
          <w:szCs w:val="24"/>
        </w:rPr>
        <w:t xml:space="preserve">различными пользователями, </w:t>
      </w:r>
      <w:r w:rsidR="00943800" w:rsidRPr="004E41D6">
        <w:rPr>
          <w:rFonts w:ascii="Times New Roman" w:hAnsi="Times New Roman" w:cs="Times New Roman"/>
          <w:sz w:val="24"/>
          <w:szCs w:val="24"/>
        </w:rPr>
        <w:t>это важно учитывать.</w:t>
      </w:r>
      <w:r w:rsidR="004B1902" w:rsidRPr="004E41D6">
        <w:rPr>
          <w:rFonts w:ascii="Times New Roman" w:hAnsi="Times New Roman" w:cs="Times New Roman"/>
          <w:sz w:val="24"/>
          <w:szCs w:val="24"/>
        </w:rPr>
        <w:t xml:space="preserve"> </w:t>
      </w:r>
      <w:r w:rsidR="00943800" w:rsidRPr="004E41D6">
        <w:rPr>
          <w:rFonts w:ascii="Times New Roman" w:hAnsi="Times New Roman" w:cs="Times New Roman"/>
          <w:sz w:val="24"/>
          <w:szCs w:val="24"/>
        </w:rPr>
        <w:t>О</w:t>
      </w:r>
      <w:r w:rsidR="00905C8B" w:rsidRPr="004E41D6">
        <w:rPr>
          <w:rFonts w:ascii="Times New Roman" w:hAnsi="Times New Roman" w:cs="Times New Roman"/>
          <w:sz w:val="24"/>
          <w:szCs w:val="24"/>
        </w:rPr>
        <w:t>ценк</w:t>
      </w:r>
      <w:r w:rsidR="00943800" w:rsidRPr="004E41D6">
        <w:rPr>
          <w:rFonts w:ascii="Times New Roman" w:hAnsi="Times New Roman" w:cs="Times New Roman"/>
          <w:sz w:val="24"/>
          <w:szCs w:val="24"/>
        </w:rPr>
        <w:t>и</w:t>
      </w:r>
      <w:r w:rsidR="00905C8B" w:rsidRPr="004E41D6">
        <w:rPr>
          <w:rFonts w:ascii="Times New Roman" w:hAnsi="Times New Roman" w:cs="Times New Roman"/>
          <w:sz w:val="24"/>
          <w:szCs w:val="24"/>
        </w:rPr>
        <w:t xml:space="preserve"> отдельных компонент (E</w:t>
      </w:r>
      <w:r w:rsidR="00905C8B" w:rsidRPr="008D0C06">
        <w:rPr>
          <w:rFonts w:ascii="Times New Roman" w:hAnsi="Times New Roman" w:cs="Times New Roman"/>
          <w:sz w:val="24"/>
          <w:szCs w:val="24"/>
        </w:rPr>
        <w:t xml:space="preserve">, </w:t>
      </w:r>
      <w:r w:rsidR="00905C8B" w:rsidRPr="004E41D6">
        <w:rPr>
          <w:rFonts w:ascii="Times New Roman" w:hAnsi="Times New Roman" w:cs="Times New Roman"/>
          <w:sz w:val="24"/>
          <w:szCs w:val="24"/>
        </w:rPr>
        <w:t>S</w:t>
      </w:r>
      <w:r w:rsidR="00905C8B" w:rsidRPr="008D0C06">
        <w:rPr>
          <w:rFonts w:ascii="Times New Roman" w:hAnsi="Times New Roman" w:cs="Times New Roman"/>
          <w:sz w:val="24"/>
          <w:szCs w:val="24"/>
        </w:rPr>
        <w:t xml:space="preserve">, </w:t>
      </w:r>
      <w:r w:rsidR="00905C8B" w:rsidRPr="004E41D6">
        <w:rPr>
          <w:rFonts w:ascii="Times New Roman" w:hAnsi="Times New Roman" w:cs="Times New Roman"/>
          <w:sz w:val="24"/>
          <w:szCs w:val="24"/>
        </w:rPr>
        <w:t>G</w:t>
      </w:r>
      <w:r w:rsidR="00905C8B" w:rsidRPr="008D0C06">
        <w:rPr>
          <w:rFonts w:ascii="Times New Roman" w:hAnsi="Times New Roman" w:cs="Times New Roman"/>
          <w:sz w:val="24"/>
          <w:szCs w:val="24"/>
        </w:rPr>
        <w:t>)</w:t>
      </w:r>
      <w:r w:rsidR="00943800" w:rsidRPr="001441F7">
        <w:rPr>
          <w:rFonts w:ascii="Times New Roman" w:hAnsi="Times New Roman" w:cs="Times New Roman"/>
          <w:sz w:val="24"/>
          <w:szCs w:val="24"/>
        </w:rPr>
        <w:t xml:space="preserve"> в деятельности компаний не заменя</w:t>
      </w:r>
      <w:r w:rsidR="006C742F" w:rsidRPr="004E41D6">
        <w:rPr>
          <w:rFonts w:ascii="Times New Roman" w:hAnsi="Times New Roman" w:cs="Times New Roman"/>
          <w:sz w:val="24"/>
          <w:szCs w:val="24"/>
        </w:rPr>
        <w:t>ю</w:t>
      </w:r>
      <w:r w:rsidR="00943800" w:rsidRPr="004E41D6">
        <w:rPr>
          <w:rFonts w:ascii="Times New Roman" w:hAnsi="Times New Roman" w:cs="Times New Roman"/>
          <w:sz w:val="24"/>
          <w:szCs w:val="24"/>
        </w:rPr>
        <w:t xml:space="preserve">т </w:t>
      </w:r>
      <w:r w:rsidR="008E540A" w:rsidRPr="004E41D6">
        <w:rPr>
          <w:rFonts w:ascii="Times New Roman" w:hAnsi="Times New Roman" w:cs="Times New Roman"/>
          <w:sz w:val="24"/>
          <w:szCs w:val="24"/>
        </w:rPr>
        <w:t>комплексную оценку</w:t>
      </w:r>
      <w:r w:rsidRPr="004E41D6">
        <w:rPr>
          <w:rFonts w:ascii="Times New Roman" w:hAnsi="Times New Roman" w:cs="Times New Roman"/>
          <w:sz w:val="24"/>
          <w:szCs w:val="24"/>
        </w:rPr>
        <w:t xml:space="preserve"> (диагностику)</w:t>
      </w:r>
      <w:r w:rsidR="008E540A" w:rsidRPr="004E41D6">
        <w:rPr>
          <w:rFonts w:ascii="Times New Roman" w:hAnsi="Times New Roman" w:cs="Times New Roman"/>
          <w:sz w:val="24"/>
          <w:szCs w:val="24"/>
        </w:rPr>
        <w:t>.</w:t>
      </w:r>
      <w:r w:rsidR="00905C8B" w:rsidRPr="004E41D6">
        <w:rPr>
          <w:rFonts w:ascii="Times New Roman" w:hAnsi="Times New Roman" w:cs="Times New Roman"/>
          <w:sz w:val="24"/>
          <w:szCs w:val="24"/>
        </w:rPr>
        <w:t xml:space="preserve"> </w:t>
      </w:r>
      <w:r w:rsidR="000240E8" w:rsidRPr="004E41D6">
        <w:rPr>
          <w:rFonts w:ascii="Times New Roman" w:hAnsi="Times New Roman" w:cs="Times New Roman"/>
          <w:sz w:val="24"/>
          <w:szCs w:val="24"/>
        </w:rPr>
        <w:t>П</w:t>
      </w:r>
      <w:r w:rsidR="00B705FC" w:rsidRPr="004E41D6">
        <w:rPr>
          <w:rFonts w:ascii="Times New Roman" w:hAnsi="Times New Roman" w:cs="Times New Roman"/>
          <w:sz w:val="24"/>
          <w:szCs w:val="24"/>
        </w:rPr>
        <w:t>редставляется важным с</w:t>
      </w:r>
      <w:r w:rsidR="00905C8B" w:rsidRPr="004E41D6">
        <w:rPr>
          <w:rFonts w:ascii="Times New Roman" w:hAnsi="Times New Roman" w:cs="Times New Roman"/>
          <w:sz w:val="24"/>
          <w:szCs w:val="24"/>
        </w:rPr>
        <w:t>охранение сводного ESG-рейтинга как продукта комплексной оценки</w:t>
      </w:r>
      <w:r w:rsidR="002D0487" w:rsidRPr="004E41D6">
        <w:rPr>
          <w:rFonts w:ascii="Times New Roman" w:hAnsi="Times New Roman" w:cs="Times New Roman"/>
          <w:sz w:val="24"/>
          <w:szCs w:val="24"/>
        </w:rPr>
        <w:t xml:space="preserve"> компании с точки зрения устойчивого развития</w:t>
      </w:r>
      <w:r w:rsidR="00905C8B" w:rsidRPr="004E41D6">
        <w:rPr>
          <w:rFonts w:ascii="Times New Roman" w:hAnsi="Times New Roman" w:cs="Times New Roman"/>
          <w:sz w:val="24"/>
          <w:szCs w:val="24"/>
        </w:rPr>
        <w:t xml:space="preserve">, имеющей </w:t>
      </w:r>
      <w:r w:rsidR="00B705FC" w:rsidRPr="004E41D6">
        <w:rPr>
          <w:rFonts w:ascii="Times New Roman" w:hAnsi="Times New Roman" w:cs="Times New Roman"/>
          <w:sz w:val="24"/>
          <w:szCs w:val="24"/>
        </w:rPr>
        <w:t>самостоятельное</w:t>
      </w:r>
      <w:r w:rsidR="002D0487" w:rsidRPr="004E41D6">
        <w:rPr>
          <w:rFonts w:ascii="Times New Roman" w:hAnsi="Times New Roman" w:cs="Times New Roman"/>
          <w:sz w:val="24"/>
          <w:szCs w:val="24"/>
        </w:rPr>
        <w:t>, а</w:t>
      </w:r>
      <w:r w:rsidR="00B705FC" w:rsidRPr="004E41D6">
        <w:rPr>
          <w:rFonts w:ascii="Times New Roman" w:hAnsi="Times New Roman" w:cs="Times New Roman"/>
          <w:sz w:val="24"/>
          <w:szCs w:val="24"/>
        </w:rPr>
        <w:t xml:space="preserve"> не второстепенное </w:t>
      </w:r>
      <w:r w:rsidR="00905C8B" w:rsidRPr="004E41D6">
        <w:rPr>
          <w:rFonts w:ascii="Times New Roman" w:hAnsi="Times New Roman" w:cs="Times New Roman"/>
          <w:sz w:val="24"/>
          <w:szCs w:val="24"/>
        </w:rPr>
        <w:t>значение.</w:t>
      </w:r>
      <w:r w:rsidR="00B705FC" w:rsidRPr="004E41D6">
        <w:rPr>
          <w:rFonts w:ascii="Times New Roman" w:hAnsi="Times New Roman" w:cs="Times New Roman"/>
          <w:sz w:val="24"/>
          <w:szCs w:val="24"/>
        </w:rPr>
        <w:t xml:space="preserve"> Эту позицию следует принимать во внимание при формировании подходов к гармонизации рынка и всей системы оценочных инструментов.</w:t>
      </w:r>
      <w:r w:rsidR="002D0487" w:rsidRPr="004E41D6">
        <w:rPr>
          <w:rFonts w:ascii="Times New Roman" w:hAnsi="Times New Roman" w:cs="Times New Roman"/>
          <w:sz w:val="24"/>
          <w:szCs w:val="24"/>
        </w:rPr>
        <w:t xml:space="preserve"> Выбор конкретных методов </w:t>
      </w:r>
      <w:r w:rsidR="008E540A" w:rsidRPr="004E41D6">
        <w:rPr>
          <w:rFonts w:ascii="Times New Roman" w:hAnsi="Times New Roman" w:cs="Times New Roman"/>
          <w:sz w:val="24"/>
          <w:szCs w:val="24"/>
        </w:rPr>
        <w:t>построения</w:t>
      </w:r>
      <w:r w:rsidR="002B6F7F" w:rsidRPr="004E41D6">
        <w:rPr>
          <w:rFonts w:ascii="Times New Roman" w:hAnsi="Times New Roman" w:cs="Times New Roman"/>
          <w:sz w:val="24"/>
          <w:szCs w:val="24"/>
        </w:rPr>
        <w:t xml:space="preserve"> сводного рейтинга</w:t>
      </w:r>
      <w:r w:rsidR="002D0487" w:rsidRPr="004E41D6">
        <w:rPr>
          <w:rFonts w:ascii="Times New Roman" w:hAnsi="Times New Roman" w:cs="Times New Roman"/>
          <w:sz w:val="24"/>
          <w:szCs w:val="24"/>
        </w:rPr>
        <w:t xml:space="preserve"> следует оставить на усмотрение организаций, присваивающих ESG</w:t>
      </w:r>
      <w:r w:rsidR="002D0487" w:rsidRPr="008D0C06">
        <w:rPr>
          <w:rFonts w:ascii="Times New Roman" w:hAnsi="Times New Roman" w:cs="Times New Roman"/>
          <w:sz w:val="24"/>
          <w:szCs w:val="24"/>
        </w:rPr>
        <w:t xml:space="preserve">-рейтинги. При этом можно </w:t>
      </w:r>
      <w:r w:rsidR="006C742F" w:rsidRPr="001441F7">
        <w:rPr>
          <w:rFonts w:ascii="Times New Roman" w:hAnsi="Times New Roman" w:cs="Times New Roman"/>
          <w:sz w:val="24"/>
          <w:szCs w:val="24"/>
        </w:rPr>
        <w:t xml:space="preserve">включить в Рекомендации </w:t>
      </w:r>
      <w:r w:rsidR="002D0487" w:rsidRPr="004E41D6">
        <w:rPr>
          <w:rFonts w:ascii="Times New Roman" w:hAnsi="Times New Roman" w:cs="Times New Roman"/>
          <w:sz w:val="24"/>
          <w:szCs w:val="24"/>
        </w:rPr>
        <w:t>описа</w:t>
      </w:r>
      <w:r w:rsidR="006C742F" w:rsidRPr="004E41D6">
        <w:rPr>
          <w:rFonts w:ascii="Times New Roman" w:hAnsi="Times New Roman" w:cs="Times New Roman"/>
          <w:sz w:val="24"/>
          <w:szCs w:val="24"/>
        </w:rPr>
        <w:t>ние</w:t>
      </w:r>
      <w:r w:rsidR="002D0487" w:rsidRPr="004E41D6">
        <w:rPr>
          <w:rFonts w:ascii="Times New Roman" w:hAnsi="Times New Roman" w:cs="Times New Roman"/>
          <w:sz w:val="24"/>
          <w:szCs w:val="24"/>
        </w:rPr>
        <w:t xml:space="preserve"> определенн</w:t>
      </w:r>
      <w:r w:rsidR="006C742F" w:rsidRPr="004E41D6">
        <w:rPr>
          <w:rFonts w:ascii="Times New Roman" w:hAnsi="Times New Roman" w:cs="Times New Roman"/>
          <w:sz w:val="24"/>
          <w:szCs w:val="24"/>
        </w:rPr>
        <w:t>ого</w:t>
      </w:r>
      <w:r w:rsidR="002D0487" w:rsidRPr="004E41D6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6C742F" w:rsidRPr="004E41D6">
        <w:rPr>
          <w:rFonts w:ascii="Times New Roman" w:hAnsi="Times New Roman" w:cs="Times New Roman"/>
          <w:sz w:val="24"/>
          <w:szCs w:val="24"/>
        </w:rPr>
        <w:t>а</w:t>
      </w:r>
      <w:r w:rsidR="002D0487" w:rsidRPr="004E41D6">
        <w:rPr>
          <w:rFonts w:ascii="Times New Roman" w:hAnsi="Times New Roman" w:cs="Times New Roman"/>
          <w:sz w:val="24"/>
          <w:szCs w:val="24"/>
        </w:rPr>
        <w:t xml:space="preserve"> агрегации в качестве одного из возможных примеров или  вариантов решения задачи</w:t>
      </w:r>
      <w:r w:rsidR="008E540A" w:rsidRPr="004E41D6">
        <w:rPr>
          <w:rFonts w:ascii="Times New Roman" w:hAnsi="Times New Roman" w:cs="Times New Roman"/>
          <w:sz w:val="24"/>
          <w:szCs w:val="24"/>
        </w:rPr>
        <w:t xml:space="preserve">, не </w:t>
      </w:r>
      <w:r w:rsidR="006C742F" w:rsidRPr="004E41D6">
        <w:rPr>
          <w:rFonts w:ascii="Times New Roman" w:hAnsi="Times New Roman" w:cs="Times New Roman"/>
          <w:sz w:val="24"/>
          <w:szCs w:val="24"/>
        </w:rPr>
        <w:t>рассматривая</w:t>
      </w:r>
      <w:r w:rsidR="008E540A" w:rsidRPr="004E41D6">
        <w:rPr>
          <w:rFonts w:ascii="Times New Roman" w:hAnsi="Times New Roman" w:cs="Times New Roman"/>
          <w:sz w:val="24"/>
          <w:szCs w:val="24"/>
        </w:rPr>
        <w:t xml:space="preserve"> его в качестве единственно </w:t>
      </w:r>
      <w:r w:rsidR="002B2115" w:rsidRPr="004E41D6">
        <w:rPr>
          <w:rFonts w:ascii="Times New Roman" w:hAnsi="Times New Roman" w:cs="Times New Roman"/>
          <w:sz w:val="24"/>
          <w:szCs w:val="24"/>
        </w:rPr>
        <w:t>возможного</w:t>
      </w:r>
      <w:r w:rsidR="008E540A" w:rsidRPr="004E41D6">
        <w:rPr>
          <w:rFonts w:ascii="Times New Roman" w:hAnsi="Times New Roman" w:cs="Times New Roman"/>
          <w:sz w:val="24"/>
          <w:szCs w:val="24"/>
        </w:rPr>
        <w:t>.</w:t>
      </w:r>
      <w:r w:rsidR="002D0487" w:rsidRPr="004E41D6">
        <w:rPr>
          <w:rFonts w:ascii="Times New Roman" w:hAnsi="Times New Roman" w:cs="Times New Roman"/>
          <w:sz w:val="24"/>
          <w:szCs w:val="24"/>
        </w:rPr>
        <w:t xml:space="preserve"> </w:t>
      </w:r>
      <w:r w:rsidR="00B91E8D" w:rsidRPr="004E41D6">
        <w:rPr>
          <w:rFonts w:ascii="Times New Roman" w:hAnsi="Times New Roman" w:cs="Times New Roman"/>
          <w:sz w:val="24"/>
          <w:szCs w:val="24"/>
        </w:rPr>
        <w:t>Нужно нарабатывать</w:t>
      </w:r>
      <w:r w:rsidR="006C742F" w:rsidRPr="004E41D6">
        <w:rPr>
          <w:rFonts w:ascii="Times New Roman" w:hAnsi="Times New Roman" w:cs="Times New Roman"/>
          <w:sz w:val="24"/>
          <w:szCs w:val="24"/>
        </w:rPr>
        <w:t xml:space="preserve"> опыт</w:t>
      </w:r>
      <w:r w:rsidR="00953F1D" w:rsidRPr="004E41D6">
        <w:rPr>
          <w:rFonts w:ascii="Times New Roman" w:hAnsi="Times New Roman" w:cs="Times New Roman"/>
          <w:sz w:val="24"/>
          <w:szCs w:val="24"/>
        </w:rPr>
        <w:t>,</w:t>
      </w:r>
      <w:r w:rsidR="00B91E8D" w:rsidRPr="004E41D6">
        <w:rPr>
          <w:rFonts w:ascii="Times New Roman" w:hAnsi="Times New Roman" w:cs="Times New Roman"/>
          <w:sz w:val="24"/>
          <w:szCs w:val="24"/>
        </w:rPr>
        <w:t xml:space="preserve"> анализировать практику</w:t>
      </w:r>
      <w:r w:rsidR="00953F1D" w:rsidRPr="004E41D6">
        <w:rPr>
          <w:rFonts w:ascii="Times New Roman" w:hAnsi="Times New Roman" w:cs="Times New Roman"/>
          <w:sz w:val="24"/>
          <w:szCs w:val="24"/>
        </w:rPr>
        <w:t xml:space="preserve"> и</w:t>
      </w:r>
      <w:r w:rsidR="00B91E8D" w:rsidRPr="004E41D6">
        <w:rPr>
          <w:rFonts w:ascii="Times New Roman" w:hAnsi="Times New Roman" w:cs="Times New Roman"/>
          <w:sz w:val="24"/>
          <w:szCs w:val="24"/>
        </w:rPr>
        <w:t>, опираясь на это</w:t>
      </w:r>
      <w:r w:rsidR="009775D4" w:rsidRPr="004E41D6">
        <w:rPr>
          <w:rFonts w:ascii="Times New Roman" w:hAnsi="Times New Roman" w:cs="Times New Roman"/>
          <w:sz w:val="24"/>
          <w:szCs w:val="24"/>
        </w:rPr>
        <w:t>,</w:t>
      </w:r>
      <w:r w:rsidR="00B91E8D" w:rsidRPr="004E41D6">
        <w:rPr>
          <w:rFonts w:ascii="Times New Roman" w:hAnsi="Times New Roman" w:cs="Times New Roman"/>
          <w:sz w:val="24"/>
          <w:szCs w:val="24"/>
        </w:rPr>
        <w:t xml:space="preserve"> </w:t>
      </w:r>
      <w:r w:rsidR="003B612C" w:rsidRPr="004E41D6">
        <w:rPr>
          <w:rFonts w:ascii="Times New Roman" w:hAnsi="Times New Roman" w:cs="Times New Roman"/>
          <w:sz w:val="24"/>
          <w:szCs w:val="24"/>
        </w:rPr>
        <w:t xml:space="preserve">уточнять </w:t>
      </w:r>
      <w:r w:rsidR="00B91E8D" w:rsidRPr="004E41D6">
        <w:rPr>
          <w:rFonts w:ascii="Times New Roman" w:hAnsi="Times New Roman" w:cs="Times New Roman"/>
          <w:sz w:val="24"/>
          <w:szCs w:val="24"/>
        </w:rPr>
        <w:t>модельные построения</w:t>
      </w:r>
      <w:r w:rsidR="00E32661" w:rsidRPr="004E41D6">
        <w:rPr>
          <w:rFonts w:ascii="Times New Roman" w:hAnsi="Times New Roman" w:cs="Times New Roman"/>
          <w:sz w:val="24"/>
          <w:szCs w:val="24"/>
        </w:rPr>
        <w:t xml:space="preserve"> по мере накопления данных</w:t>
      </w:r>
      <w:r w:rsidR="003B612C" w:rsidRPr="004E41D6">
        <w:rPr>
          <w:rFonts w:ascii="Times New Roman" w:hAnsi="Times New Roman" w:cs="Times New Roman"/>
          <w:sz w:val="24"/>
          <w:szCs w:val="24"/>
        </w:rPr>
        <w:t>.</w:t>
      </w:r>
      <w:r w:rsidR="00B91E8D" w:rsidRPr="004E41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281" w:rsidRDefault="00FF5281" w:rsidP="004E4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349" w:rsidRPr="004E41D6" w:rsidRDefault="00194E7D" w:rsidP="004E41D6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B89">
        <w:rPr>
          <w:rFonts w:ascii="Times New Roman" w:hAnsi="Times New Roman" w:cs="Times New Roman"/>
          <w:iCs/>
          <w:sz w:val="24"/>
          <w:szCs w:val="24"/>
        </w:rPr>
        <w:t xml:space="preserve"> К условиям </w:t>
      </w:r>
      <w:r w:rsidR="0066257F" w:rsidRPr="00F23B89">
        <w:rPr>
          <w:rFonts w:ascii="Times New Roman" w:hAnsi="Times New Roman" w:cs="Times New Roman"/>
          <w:iCs/>
          <w:sz w:val="24"/>
          <w:szCs w:val="24"/>
        </w:rPr>
        <w:t xml:space="preserve">внедрения модельной методологии и гармонизации </w:t>
      </w:r>
      <w:r w:rsidR="0066257F" w:rsidRPr="00F23B89">
        <w:rPr>
          <w:rFonts w:ascii="Times New Roman" w:hAnsi="Times New Roman" w:cs="Times New Roman"/>
          <w:iCs/>
          <w:sz w:val="24"/>
          <w:szCs w:val="24"/>
          <w:lang w:val="en-US"/>
        </w:rPr>
        <w:t>ESG</w:t>
      </w:r>
      <w:r w:rsidRPr="00F23B8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6257F" w:rsidRPr="00F23B89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66257F" w:rsidRPr="008D0C06">
        <w:rPr>
          <w:rFonts w:ascii="Times New Roman" w:hAnsi="Times New Roman" w:cs="Times New Roman"/>
          <w:iCs/>
          <w:sz w:val="24"/>
          <w:szCs w:val="24"/>
        </w:rPr>
        <w:t xml:space="preserve">рейтингов </w:t>
      </w:r>
      <w:r w:rsidRPr="001441F7">
        <w:rPr>
          <w:rFonts w:ascii="Times New Roman" w:hAnsi="Times New Roman" w:cs="Times New Roman"/>
          <w:iCs/>
          <w:sz w:val="24"/>
          <w:szCs w:val="24"/>
        </w:rPr>
        <w:t>относятся</w:t>
      </w:r>
      <w:r w:rsidR="007C40DF" w:rsidRPr="004E41D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E41D6">
        <w:rPr>
          <w:rFonts w:ascii="Times New Roman" w:hAnsi="Times New Roman" w:cs="Times New Roman"/>
          <w:iCs/>
          <w:sz w:val="24"/>
          <w:szCs w:val="24"/>
        </w:rPr>
        <w:t xml:space="preserve">качество и </w:t>
      </w:r>
      <w:r w:rsidR="0066257F" w:rsidRPr="004E41D6">
        <w:rPr>
          <w:rFonts w:ascii="Times New Roman" w:hAnsi="Times New Roman" w:cs="Times New Roman"/>
          <w:iCs/>
          <w:sz w:val="24"/>
          <w:szCs w:val="24"/>
        </w:rPr>
        <w:t>наличие в достаточном объеме исходных данных, используемых для анализа и оценки</w:t>
      </w:r>
      <w:r w:rsidR="00FD5787" w:rsidRPr="004E41D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250C13" w:rsidRPr="004E41D6">
        <w:rPr>
          <w:rFonts w:ascii="Times New Roman" w:hAnsi="Times New Roman" w:cs="Times New Roman"/>
          <w:iCs/>
          <w:sz w:val="24"/>
          <w:szCs w:val="24"/>
        </w:rPr>
        <w:t xml:space="preserve">Улучшению ситуации в этой сфере в определенной мере может способствовать </w:t>
      </w:r>
      <w:r w:rsidR="00695C4C" w:rsidRPr="004E41D6">
        <w:rPr>
          <w:rFonts w:ascii="Times New Roman" w:hAnsi="Times New Roman" w:cs="Times New Roman"/>
          <w:sz w:val="24"/>
          <w:szCs w:val="24"/>
        </w:rPr>
        <w:t>обеспечение сопоставимости (синхронизации)</w:t>
      </w:r>
      <w:r w:rsidR="007C40DF" w:rsidRPr="004E41D6">
        <w:rPr>
          <w:rFonts w:ascii="Times New Roman" w:hAnsi="Times New Roman" w:cs="Times New Roman"/>
          <w:sz w:val="24"/>
          <w:szCs w:val="24"/>
        </w:rPr>
        <w:t xml:space="preserve"> состава </w:t>
      </w:r>
      <w:r w:rsidR="00695C4C" w:rsidRPr="004E41D6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7C40DF" w:rsidRPr="004E41D6">
        <w:rPr>
          <w:rFonts w:ascii="Times New Roman" w:hAnsi="Times New Roman" w:cs="Times New Roman"/>
          <w:sz w:val="24"/>
          <w:szCs w:val="24"/>
        </w:rPr>
        <w:t xml:space="preserve">показателей для методологии </w:t>
      </w:r>
      <w:r w:rsidR="007C40DF" w:rsidRPr="004E41D6">
        <w:rPr>
          <w:rFonts w:ascii="Times New Roman" w:hAnsi="Times New Roman" w:cs="Times New Roman"/>
          <w:sz w:val="24"/>
          <w:szCs w:val="24"/>
          <w:lang w:val="en-US"/>
        </w:rPr>
        <w:t>ESG</w:t>
      </w:r>
      <w:r w:rsidR="007C40DF" w:rsidRPr="004E41D6">
        <w:rPr>
          <w:rFonts w:ascii="Times New Roman" w:hAnsi="Times New Roman" w:cs="Times New Roman"/>
          <w:sz w:val="24"/>
          <w:szCs w:val="24"/>
        </w:rPr>
        <w:t xml:space="preserve">-рейтингов и </w:t>
      </w:r>
      <w:r w:rsidR="00695C4C" w:rsidRPr="004E41D6">
        <w:rPr>
          <w:rFonts w:ascii="Times New Roman" w:hAnsi="Times New Roman" w:cs="Times New Roman"/>
          <w:sz w:val="24"/>
          <w:szCs w:val="24"/>
        </w:rPr>
        <w:t xml:space="preserve">перечня ключевых показателей, раскрываемых </w:t>
      </w:r>
      <w:r w:rsidR="007C40DF" w:rsidRPr="004E41D6">
        <w:rPr>
          <w:rFonts w:ascii="Times New Roman" w:hAnsi="Times New Roman" w:cs="Times New Roman"/>
          <w:sz w:val="24"/>
          <w:szCs w:val="24"/>
        </w:rPr>
        <w:t xml:space="preserve">в отчетности </w:t>
      </w:r>
      <w:r w:rsidR="007C40DF" w:rsidRPr="004E41D6">
        <w:rPr>
          <w:rFonts w:ascii="Times New Roman" w:hAnsi="Times New Roman" w:cs="Times New Roman"/>
          <w:sz w:val="24"/>
          <w:szCs w:val="24"/>
        </w:rPr>
        <w:lastRenderedPageBreak/>
        <w:t>в области устойчивого развития</w:t>
      </w:r>
      <w:r w:rsidR="00B67A37" w:rsidRPr="004E41D6">
        <w:rPr>
          <w:rFonts w:ascii="Times New Roman" w:hAnsi="Times New Roman" w:cs="Times New Roman"/>
          <w:sz w:val="24"/>
          <w:szCs w:val="24"/>
        </w:rPr>
        <w:t>. Важно</w:t>
      </w:r>
      <w:r w:rsidR="002E442D" w:rsidRPr="004E41D6">
        <w:rPr>
          <w:rFonts w:ascii="Times New Roman" w:hAnsi="Times New Roman" w:cs="Times New Roman"/>
          <w:sz w:val="24"/>
          <w:szCs w:val="24"/>
        </w:rPr>
        <w:t xml:space="preserve"> </w:t>
      </w:r>
      <w:r w:rsidR="00B67A37" w:rsidRPr="004E41D6">
        <w:rPr>
          <w:rFonts w:ascii="Times New Roman" w:hAnsi="Times New Roman" w:cs="Times New Roman"/>
          <w:sz w:val="24"/>
          <w:szCs w:val="24"/>
        </w:rPr>
        <w:t xml:space="preserve">также одновременно </w:t>
      </w:r>
      <w:r w:rsidR="002E442D" w:rsidRPr="004E41D6">
        <w:rPr>
          <w:rFonts w:ascii="Times New Roman" w:hAnsi="Times New Roman" w:cs="Times New Roman"/>
          <w:sz w:val="24"/>
          <w:szCs w:val="24"/>
        </w:rPr>
        <w:t>реш</w:t>
      </w:r>
      <w:r w:rsidR="00B67A37" w:rsidRPr="004E41D6">
        <w:rPr>
          <w:rFonts w:ascii="Times New Roman" w:hAnsi="Times New Roman" w:cs="Times New Roman"/>
          <w:sz w:val="24"/>
          <w:szCs w:val="24"/>
        </w:rPr>
        <w:t>ать</w:t>
      </w:r>
      <w:r w:rsidR="002E442D" w:rsidRPr="004E41D6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695C4C" w:rsidRPr="004E41D6">
        <w:rPr>
          <w:rFonts w:ascii="Times New Roman" w:hAnsi="Times New Roman" w:cs="Times New Roman"/>
          <w:sz w:val="24"/>
          <w:szCs w:val="24"/>
        </w:rPr>
        <w:t xml:space="preserve"> </w:t>
      </w:r>
      <w:r w:rsidR="002E442D" w:rsidRPr="004E41D6">
        <w:rPr>
          <w:rFonts w:ascii="Times New Roman" w:hAnsi="Times New Roman" w:cs="Times New Roman"/>
          <w:sz w:val="24"/>
          <w:szCs w:val="24"/>
        </w:rPr>
        <w:t xml:space="preserve">по </w:t>
      </w:r>
      <w:r w:rsidR="007C40DF" w:rsidRPr="004E41D6">
        <w:rPr>
          <w:rFonts w:ascii="Times New Roman" w:hAnsi="Times New Roman" w:cs="Times New Roman"/>
          <w:sz w:val="24"/>
          <w:szCs w:val="24"/>
        </w:rPr>
        <w:t>гармонизации метод</w:t>
      </w:r>
      <w:r w:rsidR="00695C4C" w:rsidRPr="004E41D6">
        <w:rPr>
          <w:rFonts w:ascii="Times New Roman" w:hAnsi="Times New Roman" w:cs="Times New Roman"/>
          <w:sz w:val="24"/>
          <w:szCs w:val="24"/>
        </w:rPr>
        <w:t>ов</w:t>
      </w:r>
      <w:r w:rsidR="008545F4" w:rsidRPr="004E41D6">
        <w:rPr>
          <w:rFonts w:ascii="Times New Roman" w:hAnsi="Times New Roman" w:cs="Times New Roman"/>
          <w:sz w:val="24"/>
          <w:szCs w:val="24"/>
        </w:rPr>
        <w:t xml:space="preserve"> расчета этих </w:t>
      </w:r>
      <w:r w:rsidR="007C40DF" w:rsidRPr="004E41D6">
        <w:rPr>
          <w:rFonts w:ascii="Times New Roman" w:hAnsi="Times New Roman" w:cs="Times New Roman"/>
          <w:sz w:val="24"/>
          <w:szCs w:val="24"/>
        </w:rPr>
        <w:t>показателей</w:t>
      </w:r>
      <w:r w:rsidR="00695C4C" w:rsidRPr="004E41D6">
        <w:rPr>
          <w:rFonts w:ascii="Times New Roman" w:hAnsi="Times New Roman" w:cs="Times New Roman"/>
          <w:sz w:val="24"/>
          <w:szCs w:val="24"/>
        </w:rPr>
        <w:t xml:space="preserve">, </w:t>
      </w:r>
      <w:r w:rsidR="00157903" w:rsidRPr="004E41D6">
        <w:rPr>
          <w:rFonts w:ascii="Times New Roman" w:hAnsi="Times New Roman" w:cs="Times New Roman"/>
          <w:sz w:val="24"/>
          <w:szCs w:val="24"/>
        </w:rPr>
        <w:t>поскольку</w:t>
      </w:r>
      <w:r w:rsidR="00695C4C" w:rsidRPr="004E41D6">
        <w:rPr>
          <w:rFonts w:ascii="Times New Roman" w:hAnsi="Times New Roman" w:cs="Times New Roman"/>
          <w:sz w:val="24"/>
          <w:szCs w:val="24"/>
        </w:rPr>
        <w:t xml:space="preserve"> один и тот же показатель может</w:t>
      </w:r>
      <w:r w:rsidR="00B67A37" w:rsidRPr="004E41D6">
        <w:rPr>
          <w:rFonts w:ascii="Times New Roman" w:hAnsi="Times New Roman" w:cs="Times New Roman"/>
          <w:sz w:val="24"/>
          <w:szCs w:val="24"/>
        </w:rPr>
        <w:t xml:space="preserve"> рассчитываться и </w:t>
      </w:r>
      <w:r w:rsidR="00695C4C" w:rsidRPr="004E41D6">
        <w:rPr>
          <w:rFonts w:ascii="Times New Roman" w:hAnsi="Times New Roman" w:cs="Times New Roman"/>
          <w:sz w:val="24"/>
          <w:szCs w:val="24"/>
        </w:rPr>
        <w:t>раскрываться разными способами</w:t>
      </w:r>
      <w:r w:rsidR="00157903" w:rsidRPr="004E41D6">
        <w:rPr>
          <w:rFonts w:ascii="Times New Roman" w:hAnsi="Times New Roman" w:cs="Times New Roman"/>
          <w:sz w:val="24"/>
          <w:szCs w:val="24"/>
        </w:rPr>
        <w:t>, что затрудняет их сопоставимость</w:t>
      </w:r>
      <w:r w:rsidR="007C40DF" w:rsidRPr="004E41D6">
        <w:rPr>
          <w:rFonts w:ascii="Times New Roman" w:hAnsi="Times New Roman" w:cs="Times New Roman"/>
          <w:sz w:val="24"/>
          <w:szCs w:val="24"/>
        </w:rPr>
        <w:t xml:space="preserve">. </w:t>
      </w:r>
      <w:r w:rsidR="00141476" w:rsidRPr="004E41D6">
        <w:rPr>
          <w:rFonts w:ascii="Times New Roman" w:hAnsi="Times New Roman" w:cs="Times New Roman"/>
          <w:sz w:val="24"/>
          <w:szCs w:val="24"/>
        </w:rPr>
        <w:t xml:space="preserve">Используя применимые </w:t>
      </w:r>
      <w:r w:rsidR="00E5294B" w:rsidRPr="004E41D6">
        <w:rPr>
          <w:rFonts w:ascii="Times New Roman" w:hAnsi="Times New Roman" w:cs="Times New Roman"/>
          <w:sz w:val="24"/>
          <w:szCs w:val="24"/>
        </w:rPr>
        <w:t xml:space="preserve">в российской практике </w:t>
      </w:r>
      <w:r w:rsidR="00141476" w:rsidRPr="004E41D6">
        <w:rPr>
          <w:rFonts w:ascii="Times New Roman" w:hAnsi="Times New Roman" w:cs="Times New Roman"/>
          <w:sz w:val="24"/>
          <w:szCs w:val="24"/>
        </w:rPr>
        <w:t xml:space="preserve">метрики </w:t>
      </w:r>
      <w:r w:rsidR="00E5294B" w:rsidRPr="004E41D6">
        <w:rPr>
          <w:rFonts w:ascii="Times New Roman" w:hAnsi="Times New Roman" w:cs="Times New Roman"/>
          <w:sz w:val="24"/>
          <w:szCs w:val="24"/>
        </w:rPr>
        <w:t>международны</w:t>
      </w:r>
      <w:r w:rsidR="00141476" w:rsidRPr="004E41D6">
        <w:rPr>
          <w:rFonts w:ascii="Times New Roman" w:hAnsi="Times New Roman" w:cs="Times New Roman"/>
          <w:sz w:val="24"/>
          <w:szCs w:val="24"/>
        </w:rPr>
        <w:t>х</w:t>
      </w:r>
      <w:r w:rsidR="00E5294B" w:rsidRPr="004E41D6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141476" w:rsidRPr="004E41D6">
        <w:rPr>
          <w:rFonts w:ascii="Times New Roman" w:hAnsi="Times New Roman" w:cs="Times New Roman"/>
          <w:sz w:val="24"/>
          <w:szCs w:val="24"/>
        </w:rPr>
        <w:t>ов</w:t>
      </w:r>
      <w:r w:rsidR="00E5294B" w:rsidRPr="004E41D6">
        <w:rPr>
          <w:rFonts w:ascii="Times New Roman" w:hAnsi="Times New Roman" w:cs="Times New Roman"/>
          <w:sz w:val="24"/>
          <w:szCs w:val="24"/>
        </w:rPr>
        <w:t xml:space="preserve"> отчетности</w:t>
      </w:r>
      <w:r w:rsidR="00141476" w:rsidRPr="004E41D6">
        <w:rPr>
          <w:rFonts w:ascii="Times New Roman" w:hAnsi="Times New Roman" w:cs="Times New Roman"/>
          <w:sz w:val="24"/>
          <w:szCs w:val="24"/>
        </w:rPr>
        <w:t xml:space="preserve"> (</w:t>
      </w:r>
      <w:r w:rsidR="00141476" w:rsidRPr="004E41D6">
        <w:rPr>
          <w:rFonts w:ascii="Times New Roman" w:hAnsi="Times New Roman" w:cs="Times New Roman"/>
          <w:sz w:val="24"/>
          <w:szCs w:val="24"/>
          <w:lang w:val="en-US"/>
        </w:rPr>
        <w:t>GRI</w:t>
      </w:r>
      <w:r w:rsidR="00141476" w:rsidRPr="004E41D6">
        <w:rPr>
          <w:rFonts w:ascii="Times New Roman" w:hAnsi="Times New Roman" w:cs="Times New Roman"/>
          <w:sz w:val="24"/>
          <w:szCs w:val="24"/>
        </w:rPr>
        <w:t xml:space="preserve">, </w:t>
      </w:r>
      <w:r w:rsidR="00141476" w:rsidRPr="004E41D6">
        <w:rPr>
          <w:rFonts w:ascii="Times New Roman" w:hAnsi="Times New Roman" w:cs="Times New Roman"/>
          <w:sz w:val="24"/>
          <w:szCs w:val="24"/>
          <w:lang w:val="en-US"/>
        </w:rPr>
        <w:t>SASB</w:t>
      </w:r>
      <w:r w:rsidR="00141476" w:rsidRPr="004E41D6">
        <w:rPr>
          <w:rFonts w:ascii="Times New Roman" w:hAnsi="Times New Roman" w:cs="Times New Roman"/>
          <w:sz w:val="24"/>
          <w:szCs w:val="24"/>
        </w:rPr>
        <w:t xml:space="preserve"> и др.)</w:t>
      </w:r>
      <w:r w:rsidR="00E5294B" w:rsidRPr="004E41D6">
        <w:rPr>
          <w:rFonts w:ascii="Times New Roman" w:hAnsi="Times New Roman" w:cs="Times New Roman"/>
          <w:sz w:val="24"/>
          <w:szCs w:val="24"/>
        </w:rPr>
        <w:t xml:space="preserve">, </w:t>
      </w:r>
      <w:r w:rsidR="00141476" w:rsidRPr="004E41D6">
        <w:rPr>
          <w:rFonts w:ascii="Times New Roman" w:hAnsi="Times New Roman" w:cs="Times New Roman"/>
          <w:sz w:val="24"/>
          <w:szCs w:val="24"/>
        </w:rPr>
        <w:t xml:space="preserve">опираясь </w:t>
      </w:r>
      <w:r w:rsidR="00E5294B" w:rsidRPr="004E41D6">
        <w:rPr>
          <w:rFonts w:ascii="Times New Roman" w:hAnsi="Times New Roman" w:cs="Times New Roman"/>
          <w:sz w:val="24"/>
          <w:szCs w:val="24"/>
        </w:rPr>
        <w:t>также</w:t>
      </w:r>
      <w:r w:rsidR="00141476" w:rsidRPr="004E41D6">
        <w:rPr>
          <w:rFonts w:ascii="Times New Roman" w:hAnsi="Times New Roman" w:cs="Times New Roman"/>
          <w:sz w:val="24"/>
          <w:szCs w:val="24"/>
        </w:rPr>
        <w:t xml:space="preserve"> на российскую систему учета и отчетности</w:t>
      </w:r>
      <w:r w:rsidR="007943AE" w:rsidRPr="004E41D6">
        <w:rPr>
          <w:rFonts w:ascii="Times New Roman" w:hAnsi="Times New Roman" w:cs="Times New Roman"/>
          <w:sz w:val="24"/>
          <w:szCs w:val="24"/>
        </w:rPr>
        <w:t>,</w:t>
      </w:r>
      <w:r w:rsidR="00E5294B" w:rsidRPr="004E41D6">
        <w:rPr>
          <w:rFonts w:ascii="Times New Roman" w:hAnsi="Times New Roman" w:cs="Times New Roman"/>
          <w:sz w:val="24"/>
          <w:szCs w:val="24"/>
        </w:rPr>
        <w:t xml:space="preserve"> </w:t>
      </w:r>
      <w:r w:rsidR="00157903" w:rsidRPr="004E41D6">
        <w:rPr>
          <w:rFonts w:ascii="Times New Roman" w:hAnsi="Times New Roman" w:cs="Times New Roman"/>
          <w:sz w:val="24"/>
          <w:szCs w:val="24"/>
        </w:rPr>
        <w:t xml:space="preserve">может быть сформирован </w:t>
      </w:r>
      <w:r w:rsidR="007943AE" w:rsidRPr="004E41D6">
        <w:rPr>
          <w:rFonts w:ascii="Times New Roman" w:hAnsi="Times New Roman" w:cs="Times New Roman"/>
          <w:sz w:val="24"/>
          <w:szCs w:val="24"/>
        </w:rPr>
        <w:t xml:space="preserve">и рекомендован к применению </w:t>
      </w:r>
      <w:r w:rsidR="00157903" w:rsidRPr="004E41D6">
        <w:rPr>
          <w:rFonts w:ascii="Times New Roman" w:hAnsi="Times New Roman" w:cs="Times New Roman"/>
          <w:sz w:val="24"/>
          <w:szCs w:val="24"/>
        </w:rPr>
        <w:t>перечень базовых показателей с описанием способов их расчета</w:t>
      </w:r>
      <w:r w:rsidR="0064526E" w:rsidRPr="004E41D6">
        <w:rPr>
          <w:rFonts w:ascii="Times New Roman" w:hAnsi="Times New Roman" w:cs="Times New Roman"/>
          <w:sz w:val="24"/>
          <w:szCs w:val="24"/>
        </w:rPr>
        <w:t xml:space="preserve">. Предлагается синхронизировать усилия Банка России и РСПП, других заинтересованных сторон по определению релевантных для раскрытия и последующего использования в </w:t>
      </w:r>
      <w:r w:rsidR="0064526E" w:rsidRPr="004E41D6">
        <w:rPr>
          <w:rFonts w:ascii="Times New Roman" w:hAnsi="Times New Roman" w:cs="Times New Roman"/>
          <w:sz w:val="24"/>
          <w:szCs w:val="24"/>
          <w:lang w:val="en-US"/>
        </w:rPr>
        <w:t>ESG</w:t>
      </w:r>
      <w:r w:rsidR="0064526E" w:rsidRPr="004E41D6">
        <w:rPr>
          <w:rFonts w:ascii="Times New Roman" w:hAnsi="Times New Roman" w:cs="Times New Roman"/>
          <w:sz w:val="24"/>
          <w:szCs w:val="24"/>
        </w:rPr>
        <w:t xml:space="preserve">-рейтингах метрик. </w:t>
      </w:r>
      <w:r w:rsidR="00157903" w:rsidRPr="004E41D6">
        <w:rPr>
          <w:rFonts w:ascii="Times New Roman" w:hAnsi="Times New Roman" w:cs="Times New Roman"/>
          <w:sz w:val="24"/>
          <w:szCs w:val="24"/>
        </w:rPr>
        <w:t>Это может быть сделано, не дожидаясь принятия решения об обязательной нефинансовой отчетности.</w:t>
      </w:r>
      <w:r w:rsidR="00D3263A" w:rsidRPr="004E41D6">
        <w:rPr>
          <w:rFonts w:ascii="Times New Roman" w:hAnsi="Times New Roman" w:cs="Times New Roman"/>
          <w:sz w:val="24"/>
          <w:szCs w:val="24"/>
        </w:rPr>
        <w:t xml:space="preserve"> </w:t>
      </w:r>
      <w:r w:rsidR="004D17E1" w:rsidRPr="004E41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A3E" w:rsidRDefault="006A4A3E" w:rsidP="004E4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7163" w:rsidRPr="004E41D6" w:rsidRDefault="006A4A3E" w:rsidP="004E41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B89">
        <w:rPr>
          <w:rFonts w:ascii="Times New Roman" w:hAnsi="Times New Roman" w:cs="Times New Roman"/>
          <w:sz w:val="24"/>
          <w:szCs w:val="24"/>
        </w:rPr>
        <w:t>В модельной методологии раскрыты вопросы внешнего аудита при</w:t>
      </w:r>
      <w:r w:rsidR="00F23B89" w:rsidRPr="00F23B89">
        <w:rPr>
          <w:rFonts w:ascii="Times New Roman" w:hAnsi="Times New Roman" w:cs="Times New Roman"/>
          <w:sz w:val="24"/>
          <w:szCs w:val="24"/>
        </w:rPr>
        <w:t xml:space="preserve"> </w:t>
      </w:r>
      <w:r w:rsidRPr="008D0C06">
        <w:rPr>
          <w:rFonts w:ascii="Times New Roman" w:hAnsi="Times New Roman" w:cs="Times New Roman"/>
          <w:sz w:val="24"/>
          <w:szCs w:val="24"/>
        </w:rPr>
        <w:t xml:space="preserve">проведении оценки компоненты корпоративного </w:t>
      </w:r>
      <w:r w:rsidRPr="001441F7">
        <w:rPr>
          <w:rFonts w:ascii="Times New Roman" w:hAnsi="Times New Roman" w:cs="Times New Roman"/>
          <w:sz w:val="24"/>
          <w:szCs w:val="24"/>
        </w:rPr>
        <w:t>управления. Вместе с тем,</w:t>
      </w:r>
      <w:r w:rsidR="00105243" w:rsidRPr="004E41D6">
        <w:rPr>
          <w:rFonts w:ascii="Times New Roman" w:hAnsi="Times New Roman" w:cs="Times New Roman"/>
          <w:sz w:val="24"/>
          <w:szCs w:val="24"/>
        </w:rPr>
        <w:t xml:space="preserve"> представляется полезным и важным </w:t>
      </w:r>
      <w:r w:rsidRPr="004E41D6">
        <w:rPr>
          <w:rFonts w:ascii="Times New Roman" w:hAnsi="Times New Roman" w:cs="Times New Roman"/>
          <w:sz w:val="24"/>
          <w:szCs w:val="24"/>
        </w:rPr>
        <w:t>уч</w:t>
      </w:r>
      <w:r w:rsidR="00105243" w:rsidRPr="004E41D6">
        <w:rPr>
          <w:rFonts w:ascii="Times New Roman" w:hAnsi="Times New Roman" w:cs="Times New Roman"/>
          <w:sz w:val="24"/>
          <w:szCs w:val="24"/>
        </w:rPr>
        <w:t>итывать также</w:t>
      </w:r>
      <w:r w:rsidRPr="004E41D6">
        <w:rPr>
          <w:rFonts w:ascii="Times New Roman" w:hAnsi="Times New Roman" w:cs="Times New Roman"/>
          <w:sz w:val="24"/>
          <w:szCs w:val="24"/>
        </w:rPr>
        <w:t xml:space="preserve"> </w:t>
      </w:r>
      <w:r w:rsidR="00105243" w:rsidRPr="004E41D6">
        <w:rPr>
          <w:rFonts w:ascii="Times New Roman" w:hAnsi="Times New Roman" w:cs="Times New Roman"/>
          <w:sz w:val="24"/>
          <w:szCs w:val="24"/>
        </w:rPr>
        <w:t>процедуры общественного заверения, связанные с достижением общественного консенсуса относительно оценки  организаций в контексте устойчивого развития</w:t>
      </w:r>
      <w:r w:rsidR="00797163" w:rsidRPr="004E41D6">
        <w:rPr>
          <w:rFonts w:ascii="Times New Roman" w:hAnsi="Times New Roman" w:cs="Times New Roman"/>
          <w:sz w:val="24"/>
          <w:szCs w:val="24"/>
        </w:rPr>
        <w:t>.</w:t>
      </w:r>
      <w:r w:rsidR="00105243" w:rsidRPr="004E41D6">
        <w:rPr>
          <w:rFonts w:ascii="Times New Roman" w:hAnsi="Times New Roman" w:cs="Times New Roman"/>
          <w:sz w:val="24"/>
          <w:szCs w:val="24"/>
        </w:rPr>
        <w:t xml:space="preserve"> </w:t>
      </w:r>
      <w:r w:rsidR="00797163" w:rsidRPr="004E41D6">
        <w:rPr>
          <w:rFonts w:ascii="Times New Roman" w:hAnsi="Times New Roman" w:cs="Times New Roman"/>
          <w:sz w:val="24"/>
          <w:szCs w:val="24"/>
        </w:rPr>
        <w:t xml:space="preserve"> Методологию общественного заверения отчетности и многолетний опыт экспертизы в этой сфере имеет РСПП, такая практика начата в Общественной палате РФ. Наличие общественного заверения и процессов общественных консультаций в отношении отчетности об устойчивом развитии оцениваемой организации было бы целесообразным учитывать при формировании значения </w:t>
      </w:r>
      <w:r w:rsidR="00797163" w:rsidRPr="004E41D6">
        <w:rPr>
          <w:rFonts w:ascii="Times New Roman" w:hAnsi="Times New Roman" w:cs="Times New Roman"/>
          <w:sz w:val="24"/>
          <w:szCs w:val="24"/>
          <w:lang w:val="en-US"/>
        </w:rPr>
        <w:t>ESG</w:t>
      </w:r>
      <w:r w:rsidR="00797163" w:rsidRPr="004E41D6">
        <w:rPr>
          <w:rFonts w:ascii="Times New Roman" w:hAnsi="Times New Roman" w:cs="Times New Roman"/>
          <w:sz w:val="24"/>
          <w:szCs w:val="24"/>
        </w:rPr>
        <w:t>-рейтинга организации</w:t>
      </w:r>
      <w:r w:rsidR="001432E8" w:rsidRPr="004E41D6">
        <w:rPr>
          <w:rFonts w:ascii="Times New Roman" w:hAnsi="Times New Roman" w:cs="Times New Roman"/>
          <w:sz w:val="24"/>
          <w:szCs w:val="24"/>
        </w:rPr>
        <w:t xml:space="preserve">, поскольку её публичная отчетность играет роль основного источника информации для оценки ответственной деловой практики. </w:t>
      </w:r>
    </w:p>
    <w:p w:rsidR="00105243" w:rsidRDefault="00105243" w:rsidP="004E4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C06" w:rsidRDefault="008D0C06" w:rsidP="004E41D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FF67A1" w:rsidRPr="008D0C06">
        <w:rPr>
          <w:rFonts w:ascii="Times New Roman" w:hAnsi="Times New Roman" w:cs="Times New Roman"/>
          <w:sz w:val="24"/>
          <w:szCs w:val="24"/>
        </w:rPr>
        <w:t>Очень важно продолжить работу с учетом состоявшихся консультаций по</w:t>
      </w:r>
      <w:r w:rsidRPr="008D0C06">
        <w:rPr>
          <w:rFonts w:ascii="Times New Roman" w:hAnsi="Times New Roman" w:cs="Times New Roman"/>
          <w:sz w:val="24"/>
          <w:szCs w:val="24"/>
        </w:rPr>
        <w:t xml:space="preserve"> </w:t>
      </w:r>
      <w:r w:rsidR="00FF67A1" w:rsidRPr="008D0C06">
        <w:rPr>
          <w:rFonts w:ascii="Times New Roman" w:hAnsi="Times New Roman" w:cs="Times New Roman"/>
          <w:sz w:val="24"/>
          <w:szCs w:val="24"/>
        </w:rPr>
        <w:t>уточнению</w:t>
      </w:r>
    </w:p>
    <w:p w:rsidR="00EB6FA4" w:rsidRPr="000B41AF" w:rsidRDefault="00FF67A1">
      <w:pPr>
        <w:spacing w:after="0" w:line="240" w:lineRule="auto"/>
        <w:jc w:val="both"/>
      </w:pPr>
      <w:r w:rsidRPr="004E41D6">
        <w:rPr>
          <w:rFonts w:ascii="Times New Roman" w:hAnsi="Times New Roman" w:cs="Times New Roman"/>
          <w:sz w:val="24"/>
          <w:szCs w:val="24"/>
        </w:rPr>
        <w:t xml:space="preserve">используемых в методологии понятий и показателей по составляющим </w:t>
      </w:r>
      <w:r w:rsidRPr="008D0C06">
        <w:rPr>
          <w:rFonts w:ascii="Times New Roman" w:hAnsi="Times New Roman" w:cs="Times New Roman"/>
          <w:sz w:val="24"/>
          <w:szCs w:val="24"/>
          <w:lang w:val="en-US"/>
        </w:rPr>
        <w:t>ESG</w:t>
      </w:r>
      <w:r w:rsidRPr="008D0C06">
        <w:rPr>
          <w:rFonts w:ascii="Times New Roman" w:hAnsi="Times New Roman" w:cs="Times New Roman"/>
          <w:sz w:val="24"/>
          <w:szCs w:val="24"/>
        </w:rPr>
        <w:t xml:space="preserve">-компонентам. Так, в частности, </w:t>
      </w:r>
      <w:r w:rsidR="002E5B83" w:rsidRPr="008D0C06">
        <w:rPr>
          <w:rFonts w:ascii="Times New Roman" w:hAnsi="Times New Roman" w:cs="Times New Roman"/>
          <w:sz w:val="24"/>
          <w:szCs w:val="24"/>
        </w:rPr>
        <w:t>рекомендуется</w:t>
      </w:r>
      <w:r w:rsidRPr="008D0C06">
        <w:rPr>
          <w:rFonts w:ascii="Times New Roman" w:hAnsi="Times New Roman" w:cs="Times New Roman"/>
          <w:sz w:val="24"/>
          <w:szCs w:val="24"/>
        </w:rPr>
        <w:t xml:space="preserve"> уточнить название компоненты раздела 5</w:t>
      </w:r>
      <w:r w:rsidR="00BB01C4" w:rsidRPr="008D0C06">
        <w:rPr>
          <w:rFonts w:ascii="Times New Roman" w:hAnsi="Times New Roman" w:cs="Times New Roman"/>
          <w:sz w:val="24"/>
          <w:szCs w:val="24"/>
        </w:rPr>
        <w:t xml:space="preserve"> «Социальная ответственность»</w:t>
      </w:r>
      <w:r w:rsidRPr="008D0C06">
        <w:rPr>
          <w:rFonts w:ascii="Times New Roman" w:hAnsi="Times New Roman" w:cs="Times New Roman"/>
          <w:sz w:val="24"/>
          <w:szCs w:val="24"/>
        </w:rPr>
        <w:t xml:space="preserve">. </w:t>
      </w:r>
      <w:r w:rsidR="00BB01C4" w:rsidRPr="008D0C06">
        <w:rPr>
          <w:rFonts w:ascii="Times New Roman" w:hAnsi="Times New Roman" w:cs="Times New Roman"/>
          <w:sz w:val="24"/>
          <w:szCs w:val="24"/>
        </w:rPr>
        <w:t xml:space="preserve">Согласно стандартам </w:t>
      </w:r>
      <w:r w:rsidR="00BB01C4" w:rsidRPr="008D0C06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="00BB01C4" w:rsidRPr="008D0C06">
        <w:rPr>
          <w:rFonts w:ascii="Times New Roman" w:hAnsi="Times New Roman" w:cs="Times New Roman"/>
          <w:sz w:val="24"/>
          <w:szCs w:val="24"/>
        </w:rPr>
        <w:t xml:space="preserve"> 26000 и  ГОСТ </w:t>
      </w:r>
      <w:proofErr w:type="gramStart"/>
      <w:r w:rsidR="00BB01C4" w:rsidRPr="008D0C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B01C4" w:rsidRPr="008D0C06">
        <w:rPr>
          <w:rFonts w:ascii="Times New Roman" w:hAnsi="Times New Roman" w:cs="Times New Roman"/>
          <w:sz w:val="24"/>
          <w:szCs w:val="24"/>
        </w:rPr>
        <w:t xml:space="preserve"> ИСО 26000 термин «социальная ответственность» означает ответственность за воздействие решений и деятельности организации на общество и окружающую среду, понимается при этом как реализация принципов устойчивого развития на уровне конкретной организации.  Из этой коннотации  было бы правильным исходить при уточнении названия раздела для компоненты </w:t>
      </w:r>
      <w:r w:rsidR="00BB01C4" w:rsidRPr="008D0C0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B01C4" w:rsidRPr="008D0C06">
        <w:rPr>
          <w:rFonts w:ascii="Times New Roman" w:hAnsi="Times New Roman" w:cs="Times New Roman"/>
          <w:sz w:val="24"/>
          <w:szCs w:val="24"/>
        </w:rPr>
        <w:t xml:space="preserve">. </w:t>
      </w:r>
      <w:r w:rsidRPr="008D0C06">
        <w:rPr>
          <w:rFonts w:ascii="Times New Roman" w:hAnsi="Times New Roman" w:cs="Times New Roman"/>
          <w:sz w:val="24"/>
          <w:szCs w:val="24"/>
        </w:rPr>
        <w:t xml:space="preserve">Поскольку этот раздел посвящен </w:t>
      </w:r>
      <w:r w:rsidR="002E5B83" w:rsidRPr="008D0C06">
        <w:rPr>
          <w:rFonts w:ascii="Times New Roman" w:hAnsi="Times New Roman" w:cs="Times New Roman"/>
          <w:sz w:val="24"/>
          <w:szCs w:val="24"/>
        </w:rPr>
        <w:t xml:space="preserve">только одной из составляющих социальной ответственности организации, а именно </w:t>
      </w:r>
      <w:r w:rsidRPr="008D0C06">
        <w:rPr>
          <w:rFonts w:ascii="Times New Roman" w:hAnsi="Times New Roman" w:cs="Times New Roman"/>
          <w:sz w:val="24"/>
          <w:szCs w:val="24"/>
        </w:rPr>
        <w:t>социальным аспектам деятельности</w:t>
      </w:r>
      <w:r w:rsidR="002E5B83" w:rsidRPr="008D0C06">
        <w:rPr>
          <w:rFonts w:ascii="Times New Roman" w:hAnsi="Times New Roman" w:cs="Times New Roman"/>
          <w:sz w:val="24"/>
          <w:szCs w:val="24"/>
        </w:rPr>
        <w:t>, то было бы корректным назвать раздел «социальная деятельность</w:t>
      </w:r>
      <w:r w:rsidR="00BB01C4" w:rsidRPr="008D0C06">
        <w:rPr>
          <w:rFonts w:ascii="Times New Roman" w:hAnsi="Times New Roman" w:cs="Times New Roman"/>
          <w:sz w:val="24"/>
          <w:szCs w:val="24"/>
        </w:rPr>
        <w:t>»</w:t>
      </w:r>
      <w:r w:rsidR="002E5B83" w:rsidRPr="008D0C06">
        <w:rPr>
          <w:rFonts w:ascii="Times New Roman" w:hAnsi="Times New Roman" w:cs="Times New Roman"/>
          <w:sz w:val="24"/>
          <w:szCs w:val="24"/>
        </w:rPr>
        <w:t xml:space="preserve"> или </w:t>
      </w:r>
      <w:r w:rsidR="00BB01C4" w:rsidRPr="008D0C06">
        <w:rPr>
          <w:rFonts w:ascii="Times New Roman" w:hAnsi="Times New Roman" w:cs="Times New Roman"/>
          <w:sz w:val="24"/>
          <w:szCs w:val="24"/>
        </w:rPr>
        <w:t>«</w:t>
      </w:r>
      <w:r w:rsidR="002E5B83" w:rsidRPr="008D0C06">
        <w:rPr>
          <w:rFonts w:ascii="Times New Roman" w:hAnsi="Times New Roman" w:cs="Times New Roman"/>
          <w:sz w:val="24"/>
          <w:szCs w:val="24"/>
        </w:rPr>
        <w:t>социальное воздействие».</w:t>
      </w:r>
    </w:p>
    <w:sectPr w:rsidR="00EB6FA4" w:rsidRPr="000B41AF" w:rsidSect="004E41D6">
      <w:footerReference w:type="default" r:id="rId9"/>
      <w:pgSz w:w="11906" w:h="16838"/>
      <w:pgMar w:top="1134" w:right="85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F8F" w:rsidRDefault="00281F8F" w:rsidP="006A4A3E">
      <w:pPr>
        <w:spacing w:after="0" w:line="240" w:lineRule="auto"/>
      </w:pPr>
      <w:r>
        <w:separator/>
      </w:r>
    </w:p>
  </w:endnote>
  <w:endnote w:type="continuationSeparator" w:id="0">
    <w:p w:rsidR="00281F8F" w:rsidRDefault="00281F8F" w:rsidP="006A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89893"/>
      <w:docPartObj>
        <w:docPartGallery w:val="Page Numbers (Bottom of Page)"/>
        <w:docPartUnique/>
      </w:docPartObj>
    </w:sdtPr>
    <w:sdtEndPr/>
    <w:sdtContent>
      <w:p w:rsidR="006A4A3E" w:rsidRDefault="006A4A3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B98">
          <w:rPr>
            <w:noProof/>
          </w:rPr>
          <w:t>3</w:t>
        </w:r>
        <w:r>
          <w:fldChar w:fldCharType="end"/>
        </w:r>
      </w:p>
    </w:sdtContent>
  </w:sdt>
  <w:p w:rsidR="006A4A3E" w:rsidRDefault="006A4A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F8F" w:rsidRDefault="00281F8F" w:rsidP="006A4A3E">
      <w:pPr>
        <w:spacing w:after="0" w:line="240" w:lineRule="auto"/>
      </w:pPr>
      <w:r>
        <w:separator/>
      </w:r>
    </w:p>
  </w:footnote>
  <w:footnote w:type="continuationSeparator" w:id="0">
    <w:p w:rsidR="00281F8F" w:rsidRDefault="00281F8F" w:rsidP="006A4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8BD"/>
    <w:multiLevelType w:val="hybridMultilevel"/>
    <w:tmpl w:val="9942270E"/>
    <w:lvl w:ilvl="0" w:tplc="53F2E8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197A01"/>
    <w:multiLevelType w:val="hybridMultilevel"/>
    <w:tmpl w:val="3B407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E6146"/>
    <w:multiLevelType w:val="hybridMultilevel"/>
    <w:tmpl w:val="97B44ADA"/>
    <w:lvl w:ilvl="0" w:tplc="53F2E8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1E6880"/>
    <w:multiLevelType w:val="hybridMultilevel"/>
    <w:tmpl w:val="7C2AD4DE"/>
    <w:lvl w:ilvl="0" w:tplc="53F2E8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ladimir Gorchakov">
    <w15:presenceInfo w15:providerId="AD" w15:userId="S-1-5-21-1061656575-462590873-3027655279-45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2E"/>
    <w:rsid w:val="000154E3"/>
    <w:rsid w:val="00015893"/>
    <w:rsid w:val="000226AB"/>
    <w:rsid w:val="000240E8"/>
    <w:rsid w:val="00057E49"/>
    <w:rsid w:val="00083ECD"/>
    <w:rsid w:val="000A526C"/>
    <w:rsid w:val="000B41AF"/>
    <w:rsid w:val="000C48B3"/>
    <w:rsid w:val="000C7D42"/>
    <w:rsid w:val="000E43F6"/>
    <w:rsid w:val="000F2258"/>
    <w:rsid w:val="00105243"/>
    <w:rsid w:val="00110546"/>
    <w:rsid w:val="00112C64"/>
    <w:rsid w:val="00141476"/>
    <w:rsid w:val="001432E8"/>
    <w:rsid w:val="001441F7"/>
    <w:rsid w:val="001475A4"/>
    <w:rsid w:val="00147962"/>
    <w:rsid w:val="00154EDE"/>
    <w:rsid w:val="00157903"/>
    <w:rsid w:val="00175FB7"/>
    <w:rsid w:val="00194E7D"/>
    <w:rsid w:val="00197349"/>
    <w:rsid w:val="00197C4E"/>
    <w:rsid w:val="001E148E"/>
    <w:rsid w:val="001F5B98"/>
    <w:rsid w:val="0020025C"/>
    <w:rsid w:val="002131DE"/>
    <w:rsid w:val="00221635"/>
    <w:rsid w:val="00222DA1"/>
    <w:rsid w:val="00250C13"/>
    <w:rsid w:val="00280AFE"/>
    <w:rsid w:val="00281F8F"/>
    <w:rsid w:val="002A379F"/>
    <w:rsid w:val="002A48C2"/>
    <w:rsid w:val="002B2115"/>
    <w:rsid w:val="002B6027"/>
    <w:rsid w:val="002B6F7F"/>
    <w:rsid w:val="002C4C6F"/>
    <w:rsid w:val="002D0487"/>
    <w:rsid w:val="002D71D5"/>
    <w:rsid w:val="002E442D"/>
    <w:rsid w:val="002E5B83"/>
    <w:rsid w:val="002F03C9"/>
    <w:rsid w:val="002F367B"/>
    <w:rsid w:val="003166E5"/>
    <w:rsid w:val="003275EA"/>
    <w:rsid w:val="00332C2B"/>
    <w:rsid w:val="00352772"/>
    <w:rsid w:val="00365464"/>
    <w:rsid w:val="00372AB9"/>
    <w:rsid w:val="00373111"/>
    <w:rsid w:val="00395EB9"/>
    <w:rsid w:val="00396ADE"/>
    <w:rsid w:val="003B24AB"/>
    <w:rsid w:val="003B612C"/>
    <w:rsid w:val="003C15FB"/>
    <w:rsid w:val="003D5B24"/>
    <w:rsid w:val="003E013A"/>
    <w:rsid w:val="004269C7"/>
    <w:rsid w:val="00435CA2"/>
    <w:rsid w:val="0044401B"/>
    <w:rsid w:val="00456AB6"/>
    <w:rsid w:val="00467A55"/>
    <w:rsid w:val="00470C20"/>
    <w:rsid w:val="004B11A1"/>
    <w:rsid w:val="004B1902"/>
    <w:rsid w:val="004B685B"/>
    <w:rsid w:val="004D17E1"/>
    <w:rsid w:val="004E41D6"/>
    <w:rsid w:val="004E670F"/>
    <w:rsid w:val="004E6F02"/>
    <w:rsid w:val="004F57D2"/>
    <w:rsid w:val="004F7D47"/>
    <w:rsid w:val="00506881"/>
    <w:rsid w:val="00547AFA"/>
    <w:rsid w:val="00552872"/>
    <w:rsid w:val="00557655"/>
    <w:rsid w:val="005A6E48"/>
    <w:rsid w:val="006161D9"/>
    <w:rsid w:val="00637CD5"/>
    <w:rsid w:val="0064526E"/>
    <w:rsid w:val="0066257F"/>
    <w:rsid w:val="006813FD"/>
    <w:rsid w:val="006837FC"/>
    <w:rsid w:val="0069178F"/>
    <w:rsid w:val="00695C4C"/>
    <w:rsid w:val="006A4A3E"/>
    <w:rsid w:val="006B1F22"/>
    <w:rsid w:val="006B306F"/>
    <w:rsid w:val="006C742F"/>
    <w:rsid w:val="006D414B"/>
    <w:rsid w:val="006E0954"/>
    <w:rsid w:val="006E4404"/>
    <w:rsid w:val="007061AF"/>
    <w:rsid w:val="007270B1"/>
    <w:rsid w:val="00747C5E"/>
    <w:rsid w:val="00760F29"/>
    <w:rsid w:val="0076356C"/>
    <w:rsid w:val="00783F63"/>
    <w:rsid w:val="007943AE"/>
    <w:rsid w:val="00797163"/>
    <w:rsid w:val="007B212E"/>
    <w:rsid w:val="007C40DF"/>
    <w:rsid w:val="007D2030"/>
    <w:rsid w:val="007F03E6"/>
    <w:rsid w:val="007F35D3"/>
    <w:rsid w:val="007F7D04"/>
    <w:rsid w:val="00803722"/>
    <w:rsid w:val="0081257D"/>
    <w:rsid w:val="008545F4"/>
    <w:rsid w:val="00860A07"/>
    <w:rsid w:val="0089246A"/>
    <w:rsid w:val="008A4781"/>
    <w:rsid w:val="008C47B7"/>
    <w:rsid w:val="008D0C06"/>
    <w:rsid w:val="008D34B8"/>
    <w:rsid w:val="008D4CE6"/>
    <w:rsid w:val="008E540A"/>
    <w:rsid w:val="00905C8B"/>
    <w:rsid w:val="00907981"/>
    <w:rsid w:val="00923FBE"/>
    <w:rsid w:val="00943800"/>
    <w:rsid w:val="009458BC"/>
    <w:rsid w:val="00953F1D"/>
    <w:rsid w:val="009733ED"/>
    <w:rsid w:val="009775D4"/>
    <w:rsid w:val="009D74C1"/>
    <w:rsid w:val="009F70E6"/>
    <w:rsid w:val="00A17A83"/>
    <w:rsid w:val="00A220EB"/>
    <w:rsid w:val="00A3034E"/>
    <w:rsid w:val="00A30BC8"/>
    <w:rsid w:val="00A55089"/>
    <w:rsid w:val="00A61635"/>
    <w:rsid w:val="00A6337F"/>
    <w:rsid w:val="00A70BF0"/>
    <w:rsid w:val="00A838C3"/>
    <w:rsid w:val="00AA0D20"/>
    <w:rsid w:val="00AA1725"/>
    <w:rsid w:val="00AA385C"/>
    <w:rsid w:val="00AC34D5"/>
    <w:rsid w:val="00AD0D69"/>
    <w:rsid w:val="00AD2963"/>
    <w:rsid w:val="00AF4620"/>
    <w:rsid w:val="00AF7FDE"/>
    <w:rsid w:val="00B034C5"/>
    <w:rsid w:val="00B552FD"/>
    <w:rsid w:val="00B67A37"/>
    <w:rsid w:val="00B705FC"/>
    <w:rsid w:val="00B754B5"/>
    <w:rsid w:val="00B91E8D"/>
    <w:rsid w:val="00B95CDF"/>
    <w:rsid w:val="00BA0F69"/>
    <w:rsid w:val="00BA1257"/>
    <w:rsid w:val="00BB01C4"/>
    <w:rsid w:val="00BB29AD"/>
    <w:rsid w:val="00BB7717"/>
    <w:rsid w:val="00BD0476"/>
    <w:rsid w:val="00BD6A18"/>
    <w:rsid w:val="00C167D2"/>
    <w:rsid w:val="00C277AA"/>
    <w:rsid w:val="00C460B5"/>
    <w:rsid w:val="00C63425"/>
    <w:rsid w:val="00CA5445"/>
    <w:rsid w:val="00CB1DD4"/>
    <w:rsid w:val="00CC7527"/>
    <w:rsid w:val="00D02CF4"/>
    <w:rsid w:val="00D15980"/>
    <w:rsid w:val="00D21B18"/>
    <w:rsid w:val="00D3263A"/>
    <w:rsid w:val="00D35B2A"/>
    <w:rsid w:val="00D43A38"/>
    <w:rsid w:val="00D4611E"/>
    <w:rsid w:val="00D479F4"/>
    <w:rsid w:val="00D51027"/>
    <w:rsid w:val="00D64E76"/>
    <w:rsid w:val="00D92351"/>
    <w:rsid w:val="00DE4DC9"/>
    <w:rsid w:val="00DE7A31"/>
    <w:rsid w:val="00E02DE0"/>
    <w:rsid w:val="00E13325"/>
    <w:rsid w:val="00E154A5"/>
    <w:rsid w:val="00E3183C"/>
    <w:rsid w:val="00E32661"/>
    <w:rsid w:val="00E5294B"/>
    <w:rsid w:val="00E7565E"/>
    <w:rsid w:val="00EB6FA4"/>
    <w:rsid w:val="00EC10DD"/>
    <w:rsid w:val="00ED2F90"/>
    <w:rsid w:val="00EF1740"/>
    <w:rsid w:val="00F05EFF"/>
    <w:rsid w:val="00F23B89"/>
    <w:rsid w:val="00F332A5"/>
    <w:rsid w:val="00F630E0"/>
    <w:rsid w:val="00F736F9"/>
    <w:rsid w:val="00F87C99"/>
    <w:rsid w:val="00F90293"/>
    <w:rsid w:val="00F92139"/>
    <w:rsid w:val="00FC7936"/>
    <w:rsid w:val="00FD5787"/>
    <w:rsid w:val="00FD6176"/>
    <w:rsid w:val="00FF132D"/>
    <w:rsid w:val="00FF1CA9"/>
    <w:rsid w:val="00FF5281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B212E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14:ligatures w14:val="standardContextual"/>
    </w:rPr>
  </w:style>
  <w:style w:type="character" w:customStyle="1" w:styleId="a4">
    <w:name w:val="Подзаголовок Знак"/>
    <w:basedOn w:val="a0"/>
    <w:link w:val="a3"/>
    <w:uiPriority w:val="11"/>
    <w:rsid w:val="007B212E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14:ligatures w14:val="standardContextual"/>
    </w:rPr>
  </w:style>
  <w:style w:type="paragraph" w:styleId="a5">
    <w:name w:val="List Paragraph"/>
    <w:basedOn w:val="a"/>
    <w:uiPriority w:val="34"/>
    <w:qFormat/>
    <w:rsid w:val="006D414B"/>
    <w:pPr>
      <w:spacing w:after="160" w:line="252" w:lineRule="auto"/>
      <w:ind w:left="720"/>
      <w:contextualSpacing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6A4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4A3E"/>
  </w:style>
  <w:style w:type="paragraph" w:styleId="a8">
    <w:name w:val="footer"/>
    <w:basedOn w:val="a"/>
    <w:link w:val="a9"/>
    <w:uiPriority w:val="99"/>
    <w:unhideWhenUsed/>
    <w:rsid w:val="006A4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4A3E"/>
  </w:style>
  <w:style w:type="paragraph" w:styleId="aa">
    <w:name w:val="Balloon Text"/>
    <w:basedOn w:val="a"/>
    <w:link w:val="ab"/>
    <w:uiPriority w:val="99"/>
    <w:semiHidden/>
    <w:unhideWhenUsed/>
    <w:rsid w:val="008D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0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B212E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14:ligatures w14:val="standardContextual"/>
    </w:rPr>
  </w:style>
  <w:style w:type="character" w:customStyle="1" w:styleId="a4">
    <w:name w:val="Подзаголовок Знак"/>
    <w:basedOn w:val="a0"/>
    <w:link w:val="a3"/>
    <w:uiPriority w:val="11"/>
    <w:rsid w:val="007B212E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14:ligatures w14:val="standardContextual"/>
    </w:rPr>
  </w:style>
  <w:style w:type="paragraph" w:styleId="a5">
    <w:name w:val="List Paragraph"/>
    <w:basedOn w:val="a"/>
    <w:uiPriority w:val="34"/>
    <w:qFormat/>
    <w:rsid w:val="006D414B"/>
    <w:pPr>
      <w:spacing w:after="160" w:line="252" w:lineRule="auto"/>
      <w:ind w:left="720"/>
      <w:contextualSpacing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6A4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4A3E"/>
  </w:style>
  <w:style w:type="paragraph" w:styleId="a8">
    <w:name w:val="footer"/>
    <w:basedOn w:val="a"/>
    <w:link w:val="a9"/>
    <w:uiPriority w:val="99"/>
    <w:unhideWhenUsed/>
    <w:rsid w:val="006A4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4A3E"/>
  </w:style>
  <w:style w:type="paragraph" w:styleId="aa">
    <w:name w:val="Balloon Text"/>
    <w:basedOn w:val="a"/>
    <w:link w:val="ab"/>
    <w:uiPriority w:val="99"/>
    <w:semiHidden/>
    <w:unhideWhenUsed/>
    <w:rsid w:val="008D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0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E952-29FD-4C56-9EE8-15D095E6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Феоктистова Елена Николаевна</dc:creator>
  <cp:lastModifiedBy>Минченков Илья Викторович</cp:lastModifiedBy>
  <cp:revision>3</cp:revision>
  <dcterms:created xsi:type="dcterms:W3CDTF">2023-02-20T13:40:00Z</dcterms:created>
  <dcterms:modified xsi:type="dcterms:W3CDTF">2023-02-20T13:40:00Z</dcterms:modified>
</cp:coreProperties>
</file>