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8BD1" w14:textId="45AA225A" w:rsidR="00646450" w:rsidRDefault="00D101CE" w:rsidP="00646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Замечания и предложения РСПП </w:t>
      </w:r>
    </w:p>
    <w:p w14:paraId="3CDB0CA3" w14:textId="670FA1EC" w:rsidR="007A46FA" w:rsidRPr="00646450" w:rsidRDefault="00D101CE" w:rsidP="001C298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к проекту </w:t>
      </w:r>
      <w:r w:rsidR="007A46FA" w:rsidRPr="00646450">
        <w:rPr>
          <w:rFonts w:ascii="Times New Roman" w:hAnsi="Times New Roman" w:cs="Times New Roman"/>
          <w:color w:val="auto"/>
          <w:sz w:val="28"/>
          <w:szCs w:val="28"/>
        </w:rPr>
        <w:t>федерального закона «О внесении изменений в Кодекс Российской Федерации об административных правонарушениях</w:t>
      </w:r>
      <w:r w:rsidR="00A824A0" w:rsidRPr="0064645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A46FA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24A0" w:rsidRPr="00646450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r w:rsidR="007A46FA" w:rsidRPr="006464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 части ответственности за нарушение законодательства о проведении эксперимента по квотированию выбросов загрязняющих веществ в атмосферный воздух</w:t>
      </w:r>
      <w:r w:rsidR="00E64939" w:rsidRPr="006464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виде «оборотных» штрафов</w:t>
      </w:r>
      <w:r w:rsidR="00A824A0" w:rsidRPr="00646450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3A809831" w14:textId="77777777" w:rsidR="007A46FA" w:rsidRPr="00646450" w:rsidRDefault="007A46FA" w:rsidP="007A46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25B5482" w14:textId="77777777" w:rsidR="00C56457" w:rsidRPr="00646450" w:rsidRDefault="00A52BEA" w:rsidP="00DF22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сопроводительных материалах к законопроекту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отсутствует </w:t>
      </w:r>
      <w:r w:rsidR="002102CA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какая-либо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том, по каким причинам разработчиками избрана концепция с </w:t>
      </w:r>
      <w:r w:rsidR="002102CA" w:rsidRPr="00646450">
        <w:rPr>
          <w:rFonts w:ascii="Times New Roman" w:hAnsi="Times New Roman" w:cs="Times New Roman"/>
          <w:color w:val="auto"/>
          <w:sz w:val="28"/>
          <w:szCs w:val="28"/>
        </w:rPr>
        <w:t>установл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ением административной ответственности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хозяйствующих субъектов, ведущих свою деятельность на территории городов, в которых реализуется эксперимент по квотированию выбросов, </w:t>
      </w:r>
      <w:r w:rsidR="002102CA" w:rsidRPr="00646450">
        <w:rPr>
          <w:rFonts w:ascii="Times New Roman" w:hAnsi="Times New Roman" w:cs="Times New Roman"/>
          <w:color w:val="auto"/>
          <w:sz w:val="28"/>
          <w:szCs w:val="28"/>
        </w:rPr>
        <w:t>в форме штрафа, исчисляемого исходя из размера совокупной выручки юридических лиц</w:t>
      </w:r>
      <w:r w:rsidR="002102CA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34C5EEB9" w14:textId="68DD9913" w:rsidR="00A52BEA" w:rsidRPr="00646450" w:rsidRDefault="00DF2268" w:rsidP="007A46FA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Приведенная в пояснительной записке ссылка на то, что в соответствии с поручением Заместителя Председателя Правительства Российской Федерации В.В. Абрамченко от 14 января 2022 г. №</w:t>
      </w:r>
      <w:r w:rsid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ВА-П11-268 ранее подготовленный Минприроды России законопроект по вопросам административной ответственности в связи с нарушением требований по квотированию выбросов необходимо доработать с учетом подпункта «в» пункта 3 перечня поручений Президента Российской Федерации от 25 декабря 2021 г. №</w:t>
      </w:r>
      <w:r w:rsid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Пр-2519, очевидно, сама по себе не является основанием для принятия соответствующего решения. Более того,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в подпункте «в» пункта 3 упомянутого поручения Президента Российской Федерации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отсутствует императивное указание на необходимость применения именно такого подхода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 а лишь указываются возможные варианты применения санкций по формуле «и (или)»</w:t>
      </w:r>
      <w:r w:rsidR="007A46FA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 а именно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«…в том числе ответственности в </w:t>
      </w:r>
      <w:r w:rsidR="00A52BEA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виде</w:t>
      </w:r>
      <w:r w:rsidR="00B17E7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штрафов, исчисляемых исходя из </w:t>
      </w:r>
      <w:r w:rsidR="00A52BEA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борота таких компаний и (или) в виде ограничений на </w:t>
      </w:r>
      <w:r w:rsidR="00A52BEA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выплату дивидендов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». </w:t>
      </w:r>
    </w:p>
    <w:p w14:paraId="2863ED79" w14:textId="60205D4F" w:rsidR="001B65BA" w:rsidRPr="00646450" w:rsidRDefault="001B65BA" w:rsidP="007A46FA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Таким образом,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предложение о применении концепции оборотных штрафов в связи с нарушениями законодательства в области охраны атмосферного воздуха и квотирования выбросов требуют детального обоснования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исследованием доступных альтернатив, оценкой соответствия данных предложений целям реализуемого эксперимента по квотированию выбросов и охраны окружающей среды в целом, экономических последствий применения подобных санкций, анализом международного опыта, свидетельствующего об успешности применения </w:t>
      </w:r>
      <w:r w:rsidR="004A6744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аналогич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ных инструментов для решения задач в области охраны окружающей среды. </w:t>
      </w:r>
    </w:p>
    <w:p w14:paraId="1C9A12A0" w14:textId="700B92C4" w:rsidR="00B17E7E" w:rsidRPr="00646450" w:rsidRDefault="004A6744" w:rsidP="00B17E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>Предложенный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части 4 проектируемой статьи 8.21.1 </w:t>
      </w:r>
      <w:r w:rsidR="00DF0086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размер административного штрафа для юридических лиц - от одной двадцатой до одной десятой совокупного размера суммы выручки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реализации всех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товаров (работ, услуг) –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абсурден и для подавляющего большинства </w:t>
      </w:r>
      <w:r w:rsidR="003E4FBC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эквивалентен постановке вопроса о целесообразности ведения хозяйств</w:t>
      </w:r>
      <w:r w:rsidR="00B17E7E" w:rsidRPr="00646450">
        <w:rPr>
          <w:rFonts w:ascii="Times New Roman" w:hAnsi="Times New Roman" w:cs="Times New Roman"/>
          <w:color w:val="auto"/>
          <w:sz w:val="28"/>
          <w:szCs w:val="28"/>
        </w:rPr>
        <w:t>енной деятельности как таковой</w:t>
      </w:r>
      <w:r w:rsidR="00B17E7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 поскольку может многократно превосходить размер их чистой прибыли. Данная проблема значительно усугубляется неоднократно отмечавшимися ранее недостатками реализации эксперимента по квотированию выбросов</w:t>
      </w:r>
      <w:r w:rsidR="003D52B1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(см. пункт 7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</w:t>
      </w:r>
      <w:r w:rsidR="00646450">
        <w:rPr>
          <w:rFonts w:ascii="Times New Roman" w:hAnsi="Times New Roman" w:cs="Times New Roman"/>
          <w:b w:val="0"/>
          <w:color w:val="auto"/>
          <w:sz w:val="28"/>
          <w:szCs w:val="28"/>
        </w:rPr>
        <w:t>их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6450">
        <w:rPr>
          <w:rFonts w:ascii="Times New Roman" w:hAnsi="Times New Roman" w:cs="Times New Roman"/>
          <w:b w:val="0"/>
          <w:color w:val="auto"/>
          <w:sz w:val="28"/>
          <w:szCs w:val="28"/>
        </w:rPr>
        <w:t>замечаний и предложений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B17E7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5DC94B88" w14:textId="6E0FE26E" w:rsidR="00763342" w:rsidRPr="00646450" w:rsidRDefault="00C26969" w:rsidP="00763342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>Для целого ряда объектов, являющихся участниками эксперимента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квотированию выб</w:t>
      </w:r>
      <w:r w:rsid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росов (головные предприятия ПАО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«НЛМК», ПАО</w:t>
      </w:r>
      <w:r w:rsid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«ГМК «Норильский никель», ПАО</w:t>
      </w:r>
      <w:r w:rsid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«Северсталь», ООО</w:t>
      </w:r>
      <w:r w:rsid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«ЕВРАЗ», МКПАО «ОК РУСАЛ» и др.</w:t>
      </w:r>
      <w:r w:rsidR="00A824A0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подробнее см. приложение к настоящему заключению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</w:t>
      </w:r>
      <w:r w:rsidR="0069679C" w:rsidRPr="00646450">
        <w:rPr>
          <w:rFonts w:ascii="Times New Roman" w:hAnsi="Times New Roman" w:cs="Times New Roman"/>
          <w:color w:val="auto"/>
          <w:sz w:val="28"/>
          <w:szCs w:val="28"/>
        </w:rPr>
        <w:t>размер годовой выручки исчисляется сотнями миллиардов рублей, т.е. в законопроекте речь идет о возможности одномоментного изъятия у них сумм в десятки миллиардов рублей</w:t>
      </w:r>
      <w:r w:rsidR="0013081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 что сопоставимо с годовым объемом инвестиций таких компаний</w:t>
      </w:r>
      <w:r w:rsidR="009015E2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D52B1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6C83A900" w14:textId="725D1357" w:rsidR="009015E2" w:rsidRPr="00646450" w:rsidRDefault="009015E2" w:rsidP="00763342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этом совершенно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не учитывается тот факт, что </w:t>
      </w:r>
      <w:r w:rsidR="008D3D90" w:rsidRPr="00646450">
        <w:rPr>
          <w:rFonts w:ascii="Times New Roman" w:hAnsi="Times New Roman" w:cs="Times New Roman"/>
          <w:color w:val="auto"/>
          <w:sz w:val="28"/>
          <w:szCs w:val="28"/>
        </w:rPr>
        <w:t>показатель выручки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никак не характеризует </w:t>
      </w:r>
      <w:r w:rsidR="008D3D90" w:rsidRPr="00646450">
        <w:rPr>
          <w:rFonts w:ascii="Times New Roman" w:hAnsi="Times New Roman" w:cs="Times New Roman"/>
          <w:color w:val="auto"/>
          <w:sz w:val="28"/>
          <w:szCs w:val="28"/>
        </w:rPr>
        <w:t>финансовое состояние и наличие свободного денежного потока</w:t>
      </w:r>
      <w:r w:rsidR="008D3D90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343D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компаний</w:t>
      </w:r>
      <w:r w:rsidR="008D3D90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 а его размер в первую очередь обусловливается высокой себестоимостью производства продукции. Игнорируются и иные неотъемлемые аспекты хозяйственной деятельности, такие как необходимость осуществления определенных объемов инвес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тиций в поддержание производства</w:t>
      </w:r>
      <w:r w:rsidR="008D3D90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для многих компаний –</w:t>
      </w:r>
      <w:r w:rsidR="008D3D90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обслуживание значительных долгов.</w:t>
      </w:r>
    </w:p>
    <w:p w14:paraId="1BF1AC7B" w14:textId="63797886" w:rsidR="00FA3A63" w:rsidRPr="00646450" w:rsidRDefault="00FA3A63" w:rsidP="00D872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>Предусмотренный способ исчисления размера штрафа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6343D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которым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предлагается взыскивать в связи с недостижением установленных квот выбросов,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не отвечает основным принципам</w:t>
      </w:r>
      <w:r w:rsidR="00DF0086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установления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наказания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F0086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Этот</w:t>
      </w:r>
      <w:r w:rsidR="00DF0086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размер 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определяется исключительно </w:t>
      </w:r>
      <w:r w:rsidR="00DF0086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индивидуальных 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DF0086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экономических, организационных и отраслевых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DF0086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особенностей предприятия вне всякой связи с общественной опасностью нарушения, характером деяния, и игнорируя отсутствие всякой взаимосвязи между выбросами в атмосферный воздух и </w:t>
      </w:r>
      <w:r w:rsidR="001E2F68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объемами </w:t>
      </w:r>
      <w:r w:rsidR="00DF0086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выручки.</w:t>
      </w:r>
    </w:p>
    <w:p w14:paraId="423FE8D0" w14:textId="05A9F073" w:rsidR="00DF0086" w:rsidRPr="00646450" w:rsidRDefault="00DF0086" w:rsidP="00DF008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Фактически в предложенной редакции части 4 проектируемой статьи 8.21.1 Кодекса Российской Федерации об административных правонарушениях постулируется, что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двум предприятиям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одно из которых производит, к примеру, золото, а второе – пищевую продукцию, и которым установлены равные квоты на выбросы (например, в отношении функционирующей в их составе энергетической установки)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может быть вменен различающийся на </w:t>
      </w:r>
      <w:r w:rsidR="001E2F68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несколько </w:t>
      </w:r>
      <w:r w:rsidR="0077280E" w:rsidRPr="00646450">
        <w:rPr>
          <w:rFonts w:ascii="Times New Roman" w:hAnsi="Times New Roman" w:cs="Times New Roman"/>
          <w:color w:val="auto"/>
          <w:sz w:val="28"/>
          <w:szCs w:val="28"/>
        </w:rPr>
        <w:t>порядков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штраф при том, что оказываемый ими уровень негативного воздействия идентичен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3F296524" w14:textId="4129D550" w:rsidR="00FB6FFC" w:rsidRPr="00646450" w:rsidRDefault="00DF0086" w:rsidP="002160A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Аналогично,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лицо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силу организационной структуры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эксплуатирующее несколько промышленных объектов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FB6FF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имеющее значительную выручку от деятельности, не связанной непосредственно с деятельностью на квотируемом объекте, но при этом </w:t>
      </w:r>
      <w:r w:rsidR="00FB6FFC" w:rsidRPr="00646450">
        <w:rPr>
          <w:rFonts w:ascii="Times New Roman" w:hAnsi="Times New Roman" w:cs="Times New Roman"/>
          <w:color w:val="auto"/>
          <w:sz w:val="28"/>
          <w:szCs w:val="28"/>
        </w:rPr>
        <w:t>являющ</w:t>
      </w:r>
      <w:r w:rsidR="002160A6" w:rsidRPr="00646450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FB6FFC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ся собственником одного квотируемого объекта </w:t>
      </w:r>
      <w:r w:rsidR="00FB6FF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с незначительной долей</w:t>
      </w:r>
      <w:r w:rsidR="002160A6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обороте</w:t>
      </w:r>
      <w:r w:rsidR="00FB6FF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объемом выбросов, </w:t>
      </w:r>
      <w:r w:rsidR="002160A6" w:rsidRPr="00646450">
        <w:rPr>
          <w:rFonts w:ascii="Times New Roman" w:hAnsi="Times New Roman" w:cs="Times New Roman"/>
          <w:color w:val="auto"/>
          <w:sz w:val="28"/>
          <w:szCs w:val="28"/>
        </w:rPr>
        <w:t>может быть подвергнуто административному наказанию</w:t>
      </w:r>
      <w:r w:rsidR="00FB6FFC" w:rsidRPr="00646450">
        <w:rPr>
          <w:rFonts w:ascii="Times New Roman" w:hAnsi="Times New Roman" w:cs="Times New Roman"/>
          <w:color w:val="auto"/>
          <w:sz w:val="28"/>
          <w:szCs w:val="28"/>
        </w:rPr>
        <w:t>, в сотни и тысячи раз превышающ</w:t>
      </w:r>
      <w:r w:rsidR="002160A6" w:rsidRPr="00646450">
        <w:rPr>
          <w:rFonts w:ascii="Times New Roman" w:hAnsi="Times New Roman" w:cs="Times New Roman"/>
          <w:color w:val="auto"/>
          <w:sz w:val="28"/>
          <w:szCs w:val="28"/>
        </w:rPr>
        <w:t>ему</w:t>
      </w:r>
      <w:r w:rsidR="00FB6FFC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штрафы организаций, осуществляющих свою основную деятельность на значительном количестве квотируемых объектов</w:t>
      </w:r>
      <w:r w:rsidR="00FB6FF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вносящих намного более </w:t>
      </w:r>
      <w:r w:rsidR="003C654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весо</w:t>
      </w:r>
      <w:r w:rsidR="00FB6FF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мый вклад в загрязнение атмосферного воздуха на </w:t>
      </w:r>
      <w:r w:rsidR="002160A6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той же территории</w:t>
      </w:r>
      <w:r w:rsidR="00FB6FF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53578929" w14:textId="26A255F0" w:rsidR="00E64939" w:rsidRPr="00646450" w:rsidRDefault="00E64939" w:rsidP="002160A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изложенным необходимо отметить, что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предложенное </w:t>
      </w:r>
      <w:r w:rsidR="001E2F68" w:rsidRPr="00646450">
        <w:rPr>
          <w:rFonts w:ascii="Times New Roman" w:hAnsi="Times New Roman" w:cs="Times New Roman"/>
          <w:color w:val="auto"/>
          <w:sz w:val="28"/>
          <w:szCs w:val="28"/>
        </w:rPr>
        <w:t>примечание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проектируемой части 4 статьи 8.21.1 Кодекса Российской Федерации об административных правонарушениях,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которым при назначении наказания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в виде оборотного штрафа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должна учитываться только выручка, полученная от деятельности на квотируемом объекте, нереализуем</w:t>
      </w:r>
      <w:r w:rsidR="0077280E" w:rsidRPr="0064645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на практике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 поскольку выручка относится к хозяйственной деятельности юридического лица, и пообъектный учет в ее отношении</w:t>
      </w:r>
      <w:r w:rsidR="003A536A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практически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 осуществляется. </w:t>
      </w:r>
    </w:p>
    <w:p w14:paraId="193CD6E5" w14:textId="4CC549D0" w:rsidR="00E64939" w:rsidRPr="00646450" w:rsidRDefault="003A536A" w:rsidP="002160A6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Наряду с этим, подход с оборотными штрафами никак не позволяет учитывать тяжесть и общественную опасность нарушения при назначении административного наказания –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и отклонение от установленных квот выбросов на считанные килограммы</w:t>
      </w:r>
      <w:r w:rsidR="0077280E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в годовом исчислении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, и отклонение от них на десятки тысяч тонн вне зависимости от того, о каких загрязняющих веществах идет речь, влекут за собой сопоставимые последствия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виде изъятия колоссального объема финансовых ресурсов у </w:t>
      </w:r>
      <w:r w:rsidR="005E48C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компании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779AE21A" w14:textId="68781984" w:rsidR="00D8721D" w:rsidRPr="00646450" w:rsidRDefault="00D8721D" w:rsidP="00D872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>Подход, предполагающий изъятие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</w:t>
      </w:r>
      <w:r w:rsidR="005E48C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организаций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значительных объемов финансовых средств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решения задачи достижения лучшего качества атмосферного воздуха,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в целом противоречит базовым принципам управления и </w:t>
      </w:r>
      <w:r w:rsidR="00FB6FFC" w:rsidRPr="00646450">
        <w:rPr>
          <w:rFonts w:ascii="Times New Roman" w:hAnsi="Times New Roman" w:cs="Times New Roman"/>
          <w:color w:val="auto"/>
          <w:sz w:val="28"/>
          <w:szCs w:val="28"/>
        </w:rPr>
        <w:t>скорее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ведет к обратному эффекту, </w:t>
      </w:r>
      <w:r w:rsidR="003C654B" w:rsidRPr="00646450">
        <w:rPr>
          <w:rFonts w:ascii="Times New Roman" w:hAnsi="Times New Roman" w:cs="Times New Roman"/>
          <w:color w:val="auto"/>
          <w:sz w:val="28"/>
          <w:szCs w:val="28"/>
        </w:rPr>
        <w:t>ставя под вопрос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решения задач, поставленных в Указе Президента Российской Федерации от 7 мая 2018 г. №</w:t>
      </w:r>
      <w:r w:rsidR="006316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204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года».</w:t>
      </w:r>
    </w:p>
    <w:p w14:paraId="274082AA" w14:textId="52435682" w:rsidR="00D8721D" w:rsidRPr="00646450" w:rsidRDefault="00D8721D" w:rsidP="00FB6FFC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Следует подчеркнуть, что </w:t>
      </w:r>
      <w:r w:rsidR="00FB6FFC" w:rsidRPr="00646450">
        <w:rPr>
          <w:rFonts w:ascii="Times New Roman" w:hAnsi="Times New Roman" w:cs="Times New Roman"/>
          <w:color w:val="auto"/>
          <w:sz w:val="28"/>
          <w:szCs w:val="28"/>
        </w:rPr>
        <w:t>взысканные с предприятий</w:t>
      </w:r>
      <w:r w:rsidR="00FB6FF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участников эксперимента по квотированию </w:t>
      </w:r>
      <w:r w:rsidR="00FB6FFC" w:rsidRPr="00646450">
        <w:rPr>
          <w:rFonts w:ascii="Times New Roman" w:hAnsi="Times New Roman" w:cs="Times New Roman"/>
          <w:color w:val="auto"/>
          <w:sz w:val="28"/>
          <w:szCs w:val="28"/>
        </w:rPr>
        <w:t>штрафы в предлагаемом размере</w:t>
      </w:r>
      <w:r w:rsidR="00FB6FF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 одной стороны, </w:t>
      </w:r>
      <w:r w:rsidR="00FB6FFC" w:rsidRPr="00646450">
        <w:rPr>
          <w:rFonts w:ascii="Times New Roman" w:hAnsi="Times New Roman" w:cs="Times New Roman"/>
          <w:color w:val="auto"/>
          <w:sz w:val="28"/>
          <w:szCs w:val="28"/>
        </w:rPr>
        <w:t>не смогут быть направлены государством на мероприятия по охране атмосферного воздуха в городах присутствия таких предприятий</w:t>
      </w:r>
      <w:r w:rsidR="00FB6FF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поскольку </w:t>
      </w:r>
      <w:r w:rsidR="00237BE5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никаких иных способов достижения требуемого качества атмосферного воздуха, кроме непосредственно снижения выбросов от основных эмитентов, не существует, а с другой – </w:t>
      </w:r>
      <w:r w:rsidR="00237BE5" w:rsidRPr="00646450">
        <w:rPr>
          <w:rFonts w:ascii="Times New Roman" w:hAnsi="Times New Roman" w:cs="Times New Roman"/>
          <w:color w:val="auto"/>
          <w:sz w:val="28"/>
          <w:szCs w:val="28"/>
        </w:rPr>
        <w:t>одновременно лишает</w:t>
      </w:r>
      <w:r w:rsidR="003C654B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BDF" w:rsidRPr="00646450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237BE5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возможности необходимые для сокращения выбросов инвестиции осуществить</w:t>
      </w:r>
      <w:r w:rsidR="00237BE5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21EDFDEA" w14:textId="3102F52D" w:rsidR="00237BE5" w:rsidRPr="00646450" w:rsidRDefault="00237BE5" w:rsidP="00FB6FFC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этих условиях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единственным способом сокращения </w:t>
      </w:r>
      <w:r w:rsidR="00896C4F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уровня загрязнения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атмосферного воздуха станет закрытие производственных мощностей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что едва ли может считаться приемлемым способом реализации поставленных в упомянутом Указе Президента Российской Федерации задач, поскольку очевидно противоречит сформулированным там же целям в области социально-экономического развития страны. </w:t>
      </w:r>
    </w:p>
    <w:p w14:paraId="5E071AA4" w14:textId="77777777" w:rsidR="003A536A" w:rsidRPr="00646450" w:rsidRDefault="00896C4F" w:rsidP="003A536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предлагаемого в части 4 проектируемой статьи 8.21.1 Кодекса Российской Федерации об административных правонарушениях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основания для привлечения хозяйствующих субъектов к административной ответственности, сформулированного как «недостижение индивидуальными предпринимателями, юридическими лицами, установленных квот выбросов загрязняющих веществ в атмосферный воздух» остается неясным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5EF7613D" w14:textId="7D48DE1D" w:rsidR="003A536A" w:rsidRPr="00646450" w:rsidRDefault="003A536A" w:rsidP="003A536A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896C4F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</w:t>
      </w:r>
      <w:r w:rsidR="00896C4F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от 26 июля 2019 г. № 195-ФЗ «О</w:t>
      </w:r>
      <w:r w:rsidR="00411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6C4F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проведении эксперимента по квотированию выбросов загрязняющих веществ и внесении изменений в отдельные законодательные акты Российской Федерации» </w:t>
      </w:r>
      <w:r w:rsidR="0056172B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закон № 195-ФЗ)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64D9" w:rsidRPr="00646450">
        <w:rPr>
          <w:rFonts w:ascii="Times New Roman" w:hAnsi="Times New Roman" w:cs="Times New Roman"/>
          <w:color w:val="auto"/>
          <w:sz w:val="28"/>
          <w:szCs w:val="28"/>
        </w:rPr>
        <w:t>применя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ются два вида квот выбросов – квоты, установленные исходя из вклада в концентрацию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загрязняющих веществ</w:t>
      </w:r>
      <w:r w:rsidR="00DD64D9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</w:t>
      </w:r>
      <w:r w:rsidR="00DD64D9" w:rsidRPr="00646450">
        <w:rPr>
          <w:rFonts w:ascii="Times New Roman" w:hAnsi="Times New Roman" w:cs="Times New Roman"/>
          <w:color w:val="auto"/>
          <w:sz w:val="28"/>
          <w:szCs w:val="28"/>
        </w:rPr>
        <w:t>квоты, назначаемые в соответствии с целевым</w:t>
      </w:r>
      <w:r w:rsidR="00D101CE" w:rsidRPr="006464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64D9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</w:t>
      </w:r>
      <w:r w:rsidR="00D101CE" w:rsidRPr="00646450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DD64D9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снижения выбросов</w:t>
      </w:r>
      <w:r w:rsidR="00DD64D9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30CAA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этом если первый из видов квот устанавливается в отношении конкретного загрязняющего вещества и конкретного источника его выброса, то в отношении второго применяется подход «по валу», т.е. требуется обеспечить снижение на 20% массы выбросов по всем веществам, в отношении которых такие квоты установлены, в целом, но не по каждому из таких веществ в отдельности. </w:t>
      </w:r>
      <w:r w:rsidR="00D101C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Иными словами, </w:t>
      </w:r>
      <w:r w:rsidR="00D101CE" w:rsidRPr="00646450">
        <w:rPr>
          <w:rFonts w:ascii="Times New Roman" w:hAnsi="Times New Roman" w:cs="Times New Roman"/>
          <w:color w:val="auto"/>
          <w:sz w:val="28"/>
          <w:szCs w:val="28"/>
        </w:rPr>
        <w:t>в отношении веществ, для которых квоты установлены исходя из целевых показателей снижения выбросов</w:t>
      </w:r>
      <w:r w:rsidR="00D101C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если таких веществ больше одного, </w:t>
      </w:r>
      <w:r w:rsidR="00D101CE" w:rsidRPr="00646450">
        <w:rPr>
          <w:rFonts w:ascii="Times New Roman" w:hAnsi="Times New Roman" w:cs="Times New Roman"/>
          <w:color w:val="auto"/>
          <w:sz w:val="28"/>
          <w:szCs w:val="28"/>
        </w:rPr>
        <w:t>существует бесконечное число способов обеспечить валовое сокращение суммарной массы выбросов на 20%, что ставит под сомнение возможность применения административного наказания</w:t>
      </w:r>
      <w:r w:rsidR="00D101C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этом случае.</w:t>
      </w:r>
    </w:p>
    <w:p w14:paraId="0F5B916C" w14:textId="2BAEB4D1" w:rsidR="002B3FF2" w:rsidRPr="00646450" w:rsidRDefault="002B3FF2" w:rsidP="002B3FF2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Более того, </w:t>
      </w:r>
      <w:r w:rsidR="00B30CAA" w:rsidRPr="00646450">
        <w:rPr>
          <w:rFonts w:ascii="Times New Roman" w:hAnsi="Times New Roman" w:cs="Times New Roman"/>
          <w:color w:val="auto"/>
          <w:sz w:val="28"/>
          <w:szCs w:val="28"/>
        </w:rPr>
        <w:t>законом № 195-ФЗ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также предусмотрено право хозяйствующих субъектов не достигать квот выбросов в срок, установленный законодательством, при условии принятия на себя обязательств по реализации (финансированию) компенсационных мероприятий на территории присутствия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. Как указанное обстоятельство предполагается учесть при применении проектируемой нормы о штрафах за «недостижение установленных квот выбросов» – неясно.</w:t>
      </w:r>
    </w:p>
    <w:p w14:paraId="3F4C817F" w14:textId="776D7904" w:rsidR="004930AA" w:rsidRPr="00646450" w:rsidRDefault="004930AA" w:rsidP="004930A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Согласно статье 1 закона № 195-ФЗ соответствующий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эксперимент проводится в целях обеспечения снижения уровня загрязнения атмосферного воздуха в определенных городских поселениях и городских округах</w:t>
      </w:r>
      <w:r w:rsidR="00411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основе сводных расчетов. </w:t>
      </w:r>
      <w:r w:rsidR="00B30CAA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Как указано выше, с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огласно статье 5 </w:t>
      </w:r>
      <w:r w:rsidR="00411BAB">
        <w:rPr>
          <w:rFonts w:ascii="Times New Roman" w:hAnsi="Times New Roman" w:cs="Times New Roman"/>
          <w:b w:val="0"/>
          <w:color w:val="auto"/>
          <w:sz w:val="28"/>
          <w:szCs w:val="28"/>
        </w:rPr>
        <w:t>данного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квоты выбросов устанавливаются на основе допустимых вкладов в концентрацию и</w:t>
      </w:r>
      <w:r w:rsidR="00B30CAA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ли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целевых показателей </w:t>
      </w:r>
      <w:r w:rsidR="00533FE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снижению выбросов. </w:t>
      </w:r>
    </w:p>
    <w:p w14:paraId="2564BD4F" w14:textId="53E2F5DC" w:rsidR="00533FEE" w:rsidRPr="00646450" w:rsidRDefault="00533FEE" w:rsidP="00533FEE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этом контексте неясно,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каковы будут правовые основания для привлечения конкретных хозяйствующих субъектов</w:t>
      </w:r>
      <w:r w:rsidR="0077280E" w:rsidRPr="00646450">
        <w:rPr>
          <w:rFonts w:ascii="Times New Roman" w:hAnsi="Times New Roman" w:cs="Times New Roman"/>
          <w:color w:val="auto"/>
          <w:sz w:val="28"/>
          <w:szCs w:val="28"/>
        </w:rPr>
        <w:t>, формально н</w:t>
      </w:r>
      <w:r w:rsidR="00411B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280E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достигших квот выбросов,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к ответственности в случаях, когда упомянутые целевые показатели в целом по территории его присутствия достигнуты</w:t>
      </w:r>
      <w:r w:rsidR="00411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(или) по загрязняющим веществам, определенным для соответствующей территории в качестве приоритетных, отсутствуют превышения предельно допустимых концентраций.</w:t>
      </w:r>
    </w:p>
    <w:p w14:paraId="63548D2C" w14:textId="7FD7EC43" w:rsidR="00896C4F" w:rsidRPr="00646450" w:rsidRDefault="00896C4F" w:rsidP="00882B3E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Так,</w:t>
      </w:r>
      <w:r w:rsidR="00533FE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например,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неоднократным сообщениям Заместителя Председателя Правительства Р</w:t>
      </w:r>
      <w:r w:rsidR="00533FE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533FE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В.В. Абрамченко (в том числе, в ходе совещания Президента Р</w:t>
      </w:r>
      <w:r w:rsidR="00533FE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533FE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членами Правительства </w:t>
      </w:r>
      <w:r w:rsidR="00533FE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 состоявшегося 14 декабря 2021</w:t>
      </w:r>
      <w:r w:rsidR="00533FE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г.), в результате рекультивации городской свалки в г.</w:t>
      </w:r>
      <w:r w:rsidR="00533FE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Челябинске совокупный объем выбросов в данном населенном пункте сокращен более чем на 20 </w:t>
      </w:r>
      <w:r w:rsidR="008E3B03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процент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ов. </w:t>
      </w:r>
      <w:r w:rsidR="00882B3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Будет ли в этих условиях недостижение </w:t>
      </w:r>
      <w:r w:rsidR="00A01C60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конкретной компанией </w:t>
      </w:r>
      <w:r w:rsidR="00882B3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результата по снижению выбросов загрязняющих веществ на 20 процентов являться основанием для привлечения его к административной ответственности</w:t>
      </w:r>
      <w:r w:rsidR="00FA742D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 чем будет состоять вина такого </w:t>
      </w:r>
      <w:r w:rsidR="00A01C60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хозяйствующего субъекта </w:t>
      </w:r>
      <w:r w:rsidR="00882B3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– неясно.</w:t>
      </w:r>
    </w:p>
    <w:p w14:paraId="19EDEDB5" w14:textId="011633F5" w:rsidR="00C26969" w:rsidRPr="00646450" w:rsidRDefault="00882B3E" w:rsidP="00D872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контексте обсуждения вопроса об установлении административной ответственности сохраняют актуальность ранее направлявшиеся в адрес Минприроды России </w:t>
      </w:r>
      <w:r w:rsidR="00411BAB">
        <w:rPr>
          <w:rFonts w:ascii="Times New Roman" w:hAnsi="Times New Roman" w:cs="Times New Roman"/>
          <w:b w:val="0"/>
          <w:color w:val="auto"/>
          <w:sz w:val="28"/>
          <w:szCs w:val="28"/>
        </w:rPr>
        <w:t>замечания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РСПП о преждевременности установления такой ответственности до </w:t>
      </w:r>
      <w:r w:rsidR="00FE6587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принципиального решения многочисленных вопросов к реализации эксперимента по квотированию выбросов (письма РСПП от </w:t>
      </w:r>
      <w:r w:rsidR="00B60A40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 сентября 2021 г. № 1242/05, от 16 ноября 2021 г. № 1583/05 </w:t>
      </w:r>
      <w:r w:rsidR="00FE6587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и от 19 января 2022 г. № 48/05).</w:t>
      </w:r>
    </w:p>
    <w:p w14:paraId="004D7280" w14:textId="7B0E0219" w:rsidR="00FE6587" w:rsidRPr="00646450" w:rsidRDefault="00FE6587" w:rsidP="00FE6587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Установленными к настоящему моменту Росприроднадзором квотами выбросов </w:t>
      </w:r>
      <w:r w:rsidR="00A918D7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организациям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предъявляются непропорциональные и не соответствующие требованиям нормативных правовых актов требования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 не учитывающие фактически достигнутые результаты в области охраны атмосферного воздуха на территориях отдельных городов – участников эксперимента по квотированию</w:t>
      </w:r>
      <w:r w:rsidR="0082427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427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место практически реализуемых задач с очевидным природоохранным эффектом формируются абстрактные требования по сокращению </w:t>
      </w:r>
      <w:r w:rsidR="0082427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20% и более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выбросов по избыточно широкой номенклатуре загрязняющих веществ</w:t>
      </w:r>
      <w:r w:rsidR="0082427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(по каждому в отдельности)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 по которым в населенных пунктах не фиксируется превышение гигиенических нормативов качества атмосферного воздуха и (или) не ведутся на систематической основе наблюдения.</w:t>
      </w:r>
      <w:r w:rsidR="0082427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этом для </w:t>
      </w:r>
      <w:r w:rsidR="00B463A9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подавляющего большинства</w:t>
      </w:r>
      <w:r w:rsidR="0082427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компаний снижение выбросов на 20</w:t>
      </w:r>
      <w:r w:rsidR="00B463A9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%</w:t>
      </w:r>
      <w:r w:rsidR="0082427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каждому из таких загрязняющих веществ технически недостижимо и экономически нецелесообразно.</w:t>
      </w:r>
    </w:p>
    <w:p w14:paraId="3551A6F1" w14:textId="77C4697F" w:rsidR="0082427E" w:rsidRPr="00646450" w:rsidRDefault="0082427E" w:rsidP="0082427E">
      <w:pPr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 же время,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решениями </w:t>
      </w:r>
      <w:r w:rsidRPr="00646450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Межведомственного совета по проведению эксперимента по квотированию выбросов</w:t>
      </w:r>
      <w:r w:rsidRPr="0064645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загрязняющих веществ, заседания которого по отдельным городам – участникам эксперимента по квотированию выбросов проводились в </w:t>
      </w:r>
      <w:r w:rsidRPr="0064645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64645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квартале 2022 года, </w:t>
      </w:r>
      <w:r w:rsidRPr="00646450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«предварительно одобрены» планы мероприятий по достижению квот выбросов, предложенные в которых технические и управленческие решения не направлены на достижение установленных Росприроднадзором квот выбросов</w:t>
      </w:r>
      <w:r w:rsidRPr="0064645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. В указанных планах вместо сокращения выбросов по каждому из загрязняющих веществ предложены практически реализуемые меры, направленные на снижение выбросов нескольких основных загрязняющих веществ, которое суммарно должно составить не менее 20% от </w:t>
      </w:r>
      <w:r w:rsidR="007E35D4" w:rsidRPr="0064645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общей массы выбросов веществ, рассматриваемых в рамках эксперимента по квотированию в качестве приоритетных. Несмотря на включенное в протоколы заседаний указанного Межведомственного совета предложение Росприроднадзору довести до предприятий обновленные квоты выбросов, которые бы соответствовали одобренным планам мероприятий, такие </w:t>
      </w:r>
      <w:r w:rsidR="00B463A9" w:rsidRPr="00646450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обновленные </w:t>
      </w:r>
      <w:r w:rsidR="007E35D4" w:rsidRPr="00646450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квоты до настоящего момента до </w:t>
      </w:r>
      <w:r w:rsidR="00FD4B56" w:rsidRPr="00646450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компаний </w:t>
      </w:r>
      <w:r w:rsidR="007E35D4" w:rsidRPr="00646450"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не доведены</w:t>
      </w:r>
      <w:r w:rsidR="007E35D4" w:rsidRPr="0064645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14:paraId="3804723D" w14:textId="05BF5FD6" w:rsidR="007E35D4" w:rsidRPr="00646450" w:rsidRDefault="007E35D4" w:rsidP="007E35D4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 самым,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с формальной точки зрения на сегодняшний день у </w:t>
      </w:r>
      <w:r w:rsidR="00FD4B56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хозяйствующих субъектов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отсутствует однозначная информация о том, какие </w:t>
      </w:r>
      <w:r w:rsidR="00FE6587"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именно требования в конечном счете будут предъявлены к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ним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E6587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 сокращения выбросов приорите</w:t>
      </w:r>
      <w:r w:rsidR="00C77C2A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тных загрязняющих веществ на 20 процентов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E6587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3EF643E4" w14:textId="56E03D2B" w:rsidR="007E35D4" w:rsidRPr="00646450" w:rsidRDefault="007E35D4" w:rsidP="007E35D4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>Отсутствует и информация о составе и стоимости компенсационных мероприятий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подлежащих включению в планы мероприятий по достижению квот выбросов в случае невозможности достижения квот в отведенный на реализацию эксперимента срок,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отсутствует порядок выбора и согласования конкретного набора компенсационных мероприятий для отдельно </w:t>
      </w:r>
      <w:r w:rsidR="00B15F14" w:rsidRPr="00646450">
        <w:rPr>
          <w:rFonts w:ascii="Times New Roman" w:hAnsi="Times New Roman" w:cs="Times New Roman"/>
          <w:color w:val="auto"/>
          <w:sz w:val="28"/>
          <w:szCs w:val="28"/>
        </w:rPr>
        <w:t>взятой организации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1FAADCA4" w14:textId="3CE057CE" w:rsidR="007E35D4" w:rsidRPr="00646450" w:rsidRDefault="007E35D4" w:rsidP="007E35D4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>Одновременно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этим уполномоченными органами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проводится работа по актуализации сводных расчетов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городов – участников эксперимента,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очевидно,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приведет к новому пересмотру квот и необходимости впоследствии перерабатывать и планы по их достижению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405CD201" w14:textId="14280702" w:rsidR="00DB7CA6" w:rsidRPr="00646450" w:rsidRDefault="007E35D4" w:rsidP="007E35D4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учетом внесенных в закон № 195-ФЗ изменений до завершения эксперимента по квотированию выбросов остается 4 года, </w:t>
      </w:r>
      <w:r w:rsidR="00FE6587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 </w:t>
      </w:r>
      <w:r w:rsidR="00767377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почти вдвое меньше продолжительности нормального инвестиционного цикла для отраслей тяжелой промышленности, и это </w:t>
      </w:r>
      <w:r w:rsidR="00FE6587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очевидным образом ограничивает возможности включения в планы мероприятий по достижению квот выбросов любых дополнительных капиталоемких мероприятий и, как следствие, своевременного достижения квот к 31 декабря </w:t>
      </w:r>
      <w:r w:rsidR="00767377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2026 </w:t>
      </w:r>
      <w:r w:rsidR="00FE6587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года. </w:t>
      </w:r>
    </w:p>
    <w:p w14:paraId="489C2249" w14:textId="0FB03366" w:rsidR="00767377" w:rsidRPr="00646450" w:rsidRDefault="00767377" w:rsidP="00767377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В описанных условиях положения части 4 проектируемой статьи 8.21.1 Кодекса Российской Федерации об административных правонарушениях в настоящее время могут рассматриваться исключительно как попытка </w:t>
      </w:r>
      <w:r w:rsidR="00B463A9" w:rsidRPr="00646450">
        <w:rPr>
          <w:rFonts w:ascii="Times New Roman" w:hAnsi="Times New Roman" w:cs="Times New Roman"/>
          <w:color w:val="auto"/>
          <w:sz w:val="28"/>
          <w:szCs w:val="28"/>
        </w:rPr>
        <w:t>возложения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 xml:space="preserve"> на хозяйствующих субъектов административной ответственности в форме беспрецедентных размеров штрафов за невыполнение заведомо неисполнимых требований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269EE371" w14:textId="4820D96F" w:rsidR="00767377" w:rsidRPr="00646450" w:rsidRDefault="00767377" w:rsidP="00767377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8. Введенные в 2022 году против Российской Федерации экономические санкции, падение выручки и рентабельности практически по всем основным секторам экономики, утрата целыми отраслями ключевых рынков сбыта (</w:t>
      </w:r>
      <w:r w:rsidRPr="006464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черная металлургия – эмбарго на рынке Европейского союза чревато потерями до 30</w:t>
      </w:r>
      <w:bookmarkStart w:id="0" w:name="_GoBack"/>
      <w:bookmarkEnd w:id="0"/>
      <w:r w:rsidR="00924DF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6464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млн тонн производства стали в год, угольная промышленность – 50 млн тонн угля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уменьшают не только объем располагаемых финансовых ресурсов у </w:t>
      </w:r>
      <w:r w:rsidR="008E3342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организаций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но влекут за собой и кратное </w:t>
      </w:r>
      <w:r w:rsidR="008E3342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сокращение 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возможностей по привлечению капитала для инвестиций, а внешние рынки в настоящее время для этого закрыты практически полностью.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Изъятие собственных средств у компаний, которые в ближайшей перспективе будут служить основным источником инвестиций для развития, приведет к невозможности решения задачи по выходу экономики страны на устойчивую траекторию развития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0FE4A93E" w14:textId="1546016C" w:rsidR="0077280E" w:rsidRPr="00646450" w:rsidRDefault="00767377" w:rsidP="00767377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color w:val="auto"/>
          <w:sz w:val="28"/>
          <w:szCs w:val="28"/>
        </w:rPr>
        <w:t>Еще одним эффектом санкций является недоступность зарубежного, в первую очередь западного, оборудования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на использование которого были ориентированы практически все модернизирующиеся в стране предприятия, а в ряде случаев – непоставка конкретных видов устройств и установок, применение которых запроектировано на уже ведущихся стройках. </w:t>
      </w:r>
      <w:r w:rsidRPr="00646450">
        <w:rPr>
          <w:rFonts w:ascii="Times New Roman" w:hAnsi="Times New Roman" w:cs="Times New Roman"/>
          <w:color w:val="auto"/>
          <w:sz w:val="28"/>
          <w:szCs w:val="28"/>
        </w:rPr>
        <w:t>Следствием этого являются не только прямые финансовые потери и необходимость продолжительного перепроектирования, но и в целом возрастание рисков того, что аналоги требующегося оборудования не будут найдены в принципе</w:t>
      </w: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значит и возможность достижения целей эксперимента по квотированию выбросов к 2026 году окажется под сомнением. </w:t>
      </w:r>
      <w:r w:rsidR="0077280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этом возложение всей полноты ответственности за подобное развитие событий на </w:t>
      </w:r>
      <w:r w:rsidR="00674B38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компании</w:t>
      </w:r>
      <w:r w:rsidR="0077280E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, участвующие в эксперименте по квотированию выбросов, представляется необоснованным.</w:t>
      </w:r>
    </w:p>
    <w:p w14:paraId="63C8E670" w14:textId="77777777" w:rsidR="003D15D4" w:rsidRPr="00646450" w:rsidRDefault="003D15D4" w:rsidP="00FE6587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FFFC30F" w14:textId="7FFDAD08" w:rsidR="00FE6587" w:rsidRPr="00646450" w:rsidRDefault="00DB7CA6" w:rsidP="00FE6587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Учитывая изложенное, </w:t>
      </w:r>
      <w:r w:rsidRPr="00646450">
        <w:rPr>
          <w:rFonts w:ascii="Times New Roman" w:hAnsi="Times New Roman" w:cs="Times New Roman"/>
          <w:bCs w:val="0"/>
          <w:color w:val="auto"/>
          <w:sz w:val="28"/>
          <w:szCs w:val="28"/>
        </w:rPr>
        <w:t>законопроект в представленной редакции не может быть поддержан.</w:t>
      </w:r>
      <w:r w:rsidR="00A75A93" w:rsidRPr="0064645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От концепции, предусматривающей исчисление размера штрафа за недостижение установленных квот выбросов, исходя из выручки предприятия</w:t>
      </w:r>
      <w:r w:rsidR="00A75A93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таких квот не достигшего, </w:t>
      </w:r>
      <w:r w:rsidR="00A75A93" w:rsidRPr="00646450">
        <w:rPr>
          <w:rFonts w:ascii="Times New Roman" w:hAnsi="Times New Roman" w:cs="Times New Roman"/>
          <w:bCs w:val="0"/>
          <w:color w:val="auto"/>
          <w:sz w:val="28"/>
          <w:szCs w:val="28"/>
        </w:rPr>
        <w:t>следует отказаться</w:t>
      </w:r>
      <w:r w:rsidR="00A75A93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Штрафы могут быть установлены лишь в стандартном для Кодекса Российской Федерации об административных правонарушениях прямом денежном эквиваленте, а их составы должны учитывать возможность недостижения квот в том числе и к окончанию реализации эксперимента по квотированию выбросов в случае принятия на себя </w:t>
      </w:r>
      <w:r w:rsidR="00C21BF7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хозяйствующим субъектом </w:t>
      </w:r>
      <w:r w:rsidR="00A75A93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обязательств по выполнению компенсационных мероприятий. </w:t>
      </w:r>
    </w:p>
    <w:p w14:paraId="363FC2BE" w14:textId="77777777" w:rsidR="00FE6587" w:rsidRPr="00646450" w:rsidRDefault="00FE6587" w:rsidP="004A6744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6902E52" w14:textId="0DB4B770" w:rsidR="005A28B3" w:rsidRPr="00646450" w:rsidRDefault="005A28B3" w:rsidP="005A28B3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Приложение: на </w:t>
      </w:r>
      <w:r w:rsidR="00952CC2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40ABC" w:rsidRPr="00646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л.</w:t>
      </w:r>
    </w:p>
    <w:p w14:paraId="1072409C" w14:textId="77777777" w:rsidR="005A28B3" w:rsidRPr="00646450" w:rsidRDefault="005A28B3" w:rsidP="005A28B3">
      <w:pPr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5A28B3" w:rsidRPr="00646450" w:rsidSect="00646450">
          <w:headerReference w:type="default" r:id="rId8"/>
          <w:pgSz w:w="11900" w:h="16840"/>
          <w:pgMar w:top="1440" w:right="1134" w:bottom="1440" w:left="1418" w:header="709" w:footer="709" w:gutter="0"/>
          <w:cols w:space="708"/>
          <w:titlePg/>
          <w:docGrid w:linePitch="360"/>
        </w:sectPr>
      </w:pPr>
    </w:p>
    <w:p w14:paraId="4A31F803" w14:textId="7A045770" w:rsidR="005A28B3" w:rsidRPr="009613A1" w:rsidRDefault="005A28B3" w:rsidP="005A28B3">
      <w:pPr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13A1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14:paraId="3A99CA40" w14:textId="01495D62" w:rsidR="00A75A93" w:rsidRPr="009613A1" w:rsidRDefault="005A28B3" w:rsidP="005A28B3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13A1">
        <w:rPr>
          <w:rFonts w:ascii="Times New Roman" w:hAnsi="Times New Roman" w:cs="Times New Roman"/>
          <w:b w:val="0"/>
          <w:color w:val="auto"/>
          <w:sz w:val="24"/>
          <w:szCs w:val="24"/>
        </w:rPr>
        <w:t>Оценки потенциальных размеров оборотного штрафа для отдельных предприятий – участников эксперимента по квотированию</w:t>
      </w:r>
    </w:p>
    <w:p w14:paraId="53D62783" w14:textId="77777777" w:rsidR="005A28B3" w:rsidRPr="009613A1" w:rsidRDefault="005A28B3" w:rsidP="005A28B3">
      <w:pPr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16"/>
        <w:gridCol w:w="2025"/>
        <w:gridCol w:w="2025"/>
        <w:gridCol w:w="2025"/>
        <w:gridCol w:w="1012"/>
        <w:gridCol w:w="1013"/>
        <w:gridCol w:w="1013"/>
        <w:gridCol w:w="1013"/>
      </w:tblGrid>
      <w:tr w:rsidR="00B550EF" w:rsidRPr="009613A1" w14:paraId="4CA6291B" w14:textId="77777777" w:rsidTr="00AA7843">
        <w:trPr>
          <w:tblHeader/>
        </w:trPr>
        <w:tc>
          <w:tcPr>
            <w:tcW w:w="534" w:type="dxa"/>
            <w:vMerge w:val="restart"/>
            <w:vAlign w:val="center"/>
          </w:tcPr>
          <w:p w14:paraId="62295421" w14:textId="19B63142" w:rsidR="00B550EF" w:rsidRPr="009613A1" w:rsidRDefault="00B550EF" w:rsidP="00B55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13A1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516" w:type="dxa"/>
            <w:vMerge w:val="restart"/>
            <w:vAlign w:val="center"/>
          </w:tcPr>
          <w:p w14:paraId="668D5A04" w14:textId="4FD03099" w:rsidR="00B550EF" w:rsidRPr="009613A1" w:rsidRDefault="00B550EF" w:rsidP="00B55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13A1">
              <w:rPr>
                <w:rFonts w:ascii="Times New Roman" w:hAnsi="Times New Roman" w:cs="Times New Roman"/>
                <w:color w:val="auto"/>
              </w:rPr>
              <w:t>Наименование предприятия</w:t>
            </w:r>
          </w:p>
        </w:tc>
        <w:tc>
          <w:tcPr>
            <w:tcW w:w="6075" w:type="dxa"/>
            <w:gridSpan w:val="3"/>
            <w:vAlign w:val="center"/>
          </w:tcPr>
          <w:p w14:paraId="39940651" w14:textId="283CC8C1" w:rsidR="00B550EF" w:rsidRPr="009613A1" w:rsidRDefault="00B550EF" w:rsidP="00B55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13A1">
              <w:rPr>
                <w:rFonts w:ascii="Times New Roman" w:hAnsi="Times New Roman" w:cs="Times New Roman"/>
                <w:color w:val="auto"/>
              </w:rPr>
              <w:t>Выручка (млн рублей)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14:paraId="4D4D8477" w14:textId="77777777" w:rsidR="00B550EF" w:rsidRPr="009613A1" w:rsidRDefault="00B550EF" w:rsidP="00B55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13A1">
              <w:rPr>
                <w:rFonts w:ascii="Times New Roman" w:hAnsi="Times New Roman" w:cs="Times New Roman"/>
                <w:color w:val="auto"/>
              </w:rPr>
              <w:t>Диапазон штрафа</w:t>
            </w:r>
          </w:p>
          <w:p w14:paraId="7EC330F5" w14:textId="31DF9D14" w:rsidR="00B550EF" w:rsidRPr="009613A1" w:rsidRDefault="00B550EF" w:rsidP="00B55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13A1">
              <w:rPr>
                <w:rFonts w:ascii="Times New Roman" w:hAnsi="Times New Roman" w:cs="Times New Roman"/>
                <w:color w:val="auto"/>
              </w:rPr>
              <w:t>(млн рублей)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14:paraId="27ECAC03" w14:textId="77777777" w:rsidR="00B550EF" w:rsidRPr="009613A1" w:rsidRDefault="00B550EF" w:rsidP="00B55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13A1">
              <w:rPr>
                <w:rFonts w:ascii="Times New Roman" w:hAnsi="Times New Roman" w:cs="Times New Roman"/>
                <w:color w:val="auto"/>
              </w:rPr>
              <w:t>Диапазон штрафа</w:t>
            </w:r>
          </w:p>
          <w:p w14:paraId="213A178C" w14:textId="5B8160DF" w:rsidR="00B550EF" w:rsidRPr="009613A1" w:rsidRDefault="00B550EF" w:rsidP="00B550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13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9613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очищен от влияния конъюнктуры 2021 г. для черной металлургии,</w:t>
            </w:r>
            <w:r w:rsidRPr="009613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613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млн рублей)</w:t>
            </w:r>
          </w:p>
        </w:tc>
      </w:tr>
      <w:tr w:rsidR="00B550EF" w:rsidRPr="009613A1" w14:paraId="0570CF87" w14:textId="77777777" w:rsidTr="00AA7843">
        <w:trPr>
          <w:tblHeader/>
        </w:trPr>
        <w:tc>
          <w:tcPr>
            <w:tcW w:w="534" w:type="dxa"/>
            <w:vMerge/>
          </w:tcPr>
          <w:p w14:paraId="1D8CFACE" w14:textId="3D8FB633" w:rsidR="00B550EF" w:rsidRPr="009613A1" w:rsidRDefault="00B550EF" w:rsidP="00B550E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  <w:vMerge/>
          </w:tcPr>
          <w:p w14:paraId="447E8129" w14:textId="189CBB75" w:rsidR="00B550EF" w:rsidRPr="009613A1" w:rsidRDefault="00B550EF" w:rsidP="005A28B3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025" w:type="dxa"/>
            <w:vAlign w:val="center"/>
          </w:tcPr>
          <w:p w14:paraId="442DD0F2" w14:textId="193FE1F5" w:rsidR="00B550EF" w:rsidRPr="009613A1" w:rsidRDefault="00B550EF" w:rsidP="00B55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13A1">
              <w:rPr>
                <w:rFonts w:ascii="Times New Roman" w:hAnsi="Times New Roman" w:cs="Times New Roman"/>
                <w:color w:val="auto"/>
              </w:rPr>
              <w:t>2019 г.</w:t>
            </w:r>
          </w:p>
        </w:tc>
        <w:tc>
          <w:tcPr>
            <w:tcW w:w="2025" w:type="dxa"/>
            <w:vAlign w:val="center"/>
          </w:tcPr>
          <w:p w14:paraId="2CB59F98" w14:textId="59B52BB6" w:rsidR="00B550EF" w:rsidRPr="009613A1" w:rsidRDefault="00B550EF" w:rsidP="00B55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13A1">
              <w:rPr>
                <w:rFonts w:ascii="Times New Roman" w:hAnsi="Times New Roman" w:cs="Times New Roman"/>
                <w:color w:val="auto"/>
              </w:rPr>
              <w:t>2020 г.</w:t>
            </w:r>
          </w:p>
        </w:tc>
        <w:tc>
          <w:tcPr>
            <w:tcW w:w="2025" w:type="dxa"/>
            <w:vAlign w:val="center"/>
          </w:tcPr>
          <w:p w14:paraId="4EB84F3A" w14:textId="30D38029" w:rsidR="00B550EF" w:rsidRPr="009613A1" w:rsidRDefault="00B550EF" w:rsidP="00B550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13A1">
              <w:rPr>
                <w:rFonts w:ascii="Times New Roman" w:hAnsi="Times New Roman" w:cs="Times New Roman"/>
                <w:color w:val="auto"/>
              </w:rPr>
              <w:t>2021 г.</w:t>
            </w:r>
          </w:p>
        </w:tc>
        <w:tc>
          <w:tcPr>
            <w:tcW w:w="2025" w:type="dxa"/>
            <w:gridSpan w:val="2"/>
            <w:vMerge/>
            <w:tcBorders>
              <w:bottom w:val="single" w:sz="4" w:space="0" w:color="auto"/>
            </w:tcBorders>
          </w:tcPr>
          <w:p w14:paraId="0FC44914" w14:textId="77777777" w:rsidR="00B550EF" w:rsidRPr="009613A1" w:rsidRDefault="00B550EF" w:rsidP="005A28B3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026" w:type="dxa"/>
            <w:gridSpan w:val="2"/>
            <w:vMerge/>
            <w:tcBorders>
              <w:bottom w:val="single" w:sz="4" w:space="0" w:color="auto"/>
            </w:tcBorders>
          </w:tcPr>
          <w:p w14:paraId="7834320B" w14:textId="77777777" w:rsidR="00B550EF" w:rsidRPr="009613A1" w:rsidRDefault="00B550EF" w:rsidP="005A28B3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461CB" w:rsidRPr="009613A1" w14:paraId="10BEC5AE" w14:textId="77777777" w:rsidTr="00AA7843">
        <w:trPr>
          <w:tblHeader/>
        </w:trPr>
        <w:tc>
          <w:tcPr>
            <w:tcW w:w="534" w:type="dxa"/>
            <w:vMerge w:val="restart"/>
            <w:vAlign w:val="center"/>
          </w:tcPr>
          <w:p w14:paraId="4ECC6AC7" w14:textId="2AA304C1" w:rsidR="00C461CB" w:rsidRPr="009613A1" w:rsidRDefault="00C461CB" w:rsidP="00AA784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(1)</w:t>
            </w:r>
          </w:p>
        </w:tc>
        <w:tc>
          <w:tcPr>
            <w:tcW w:w="3516" w:type="dxa"/>
            <w:vMerge w:val="restart"/>
            <w:vAlign w:val="center"/>
          </w:tcPr>
          <w:p w14:paraId="13293BC6" w14:textId="4AFA207A" w:rsidR="00C461CB" w:rsidRPr="009613A1" w:rsidRDefault="00C461CB" w:rsidP="00AA784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(2)</w:t>
            </w:r>
          </w:p>
        </w:tc>
        <w:tc>
          <w:tcPr>
            <w:tcW w:w="2025" w:type="dxa"/>
            <w:vMerge w:val="restart"/>
            <w:vAlign w:val="center"/>
          </w:tcPr>
          <w:p w14:paraId="2FE6C87D" w14:textId="08889AD0" w:rsidR="00C461CB" w:rsidRPr="009613A1" w:rsidRDefault="00C461CB" w:rsidP="00AA784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(3)</w:t>
            </w:r>
          </w:p>
        </w:tc>
        <w:tc>
          <w:tcPr>
            <w:tcW w:w="2025" w:type="dxa"/>
            <w:vMerge w:val="restart"/>
            <w:vAlign w:val="center"/>
          </w:tcPr>
          <w:p w14:paraId="43A627AC" w14:textId="6E1434EF" w:rsidR="00C461CB" w:rsidRPr="009613A1" w:rsidRDefault="00C461CB" w:rsidP="00AA784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(4)</w:t>
            </w:r>
          </w:p>
        </w:tc>
        <w:tc>
          <w:tcPr>
            <w:tcW w:w="2025" w:type="dxa"/>
            <w:vMerge w:val="restart"/>
            <w:vAlign w:val="center"/>
          </w:tcPr>
          <w:p w14:paraId="584CB72B" w14:textId="5DDA2D41" w:rsidR="00C461CB" w:rsidRPr="009613A1" w:rsidRDefault="00C461CB" w:rsidP="00AA784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(5)</w:t>
            </w:r>
          </w:p>
        </w:tc>
        <w:tc>
          <w:tcPr>
            <w:tcW w:w="2025" w:type="dxa"/>
            <w:gridSpan w:val="2"/>
            <w:tcBorders>
              <w:bottom w:val="nil"/>
            </w:tcBorders>
          </w:tcPr>
          <w:p w14:paraId="121BC39E" w14:textId="27B2D0BB" w:rsidR="00C461CB" w:rsidRPr="009613A1" w:rsidRDefault="00C461CB" w:rsidP="00FC52A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(6)</w:t>
            </w:r>
          </w:p>
        </w:tc>
        <w:tc>
          <w:tcPr>
            <w:tcW w:w="2026" w:type="dxa"/>
            <w:gridSpan w:val="2"/>
            <w:tcBorders>
              <w:bottom w:val="nil"/>
            </w:tcBorders>
          </w:tcPr>
          <w:p w14:paraId="4E2C3374" w14:textId="66864DF5" w:rsidR="00C461CB" w:rsidRPr="009613A1" w:rsidRDefault="00C461CB" w:rsidP="00FC52A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(7)</w:t>
            </w:r>
          </w:p>
        </w:tc>
      </w:tr>
      <w:tr w:rsidR="00AA7843" w:rsidRPr="009613A1" w14:paraId="7789EE15" w14:textId="77777777" w:rsidTr="00AA7843">
        <w:trPr>
          <w:tblHeader/>
        </w:trPr>
        <w:tc>
          <w:tcPr>
            <w:tcW w:w="534" w:type="dxa"/>
            <w:vMerge/>
            <w:vAlign w:val="center"/>
          </w:tcPr>
          <w:p w14:paraId="10597F3A" w14:textId="77777777" w:rsidR="00AA7843" w:rsidRPr="009613A1" w:rsidRDefault="00AA7843" w:rsidP="00C461CB">
            <w:pPr>
              <w:pStyle w:val="a3"/>
              <w:ind w:left="36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  <w:vMerge/>
          </w:tcPr>
          <w:p w14:paraId="54729E2D" w14:textId="77777777" w:rsidR="00AA7843" w:rsidRPr="009613A1" w:rsidRDefault="00AA7843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025" w:type="dxa"/>
            <w:vMerge/>
            <w:vAlign w:val="center"/>
          </w:tcPr>
          <w:p w14:paraId="4C2B077A" w14:textId="77777777" w:rsidR="00AA7843" w:rsidRPr="009613A1" w:rsidRDefault="00AA7843" w:rsidP="003F70A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025" w:type="dxa"/>
            <w:vMerge/>
            <w:vAlign w:val="center"/>
          </w:tcPr>
          <w:p w14:paraId="29CAB913" w14:textId="77777777" w:rsidR="00AA7843" w:rsidRPr="009613A1" w:rsidRDefault="00AA7843" w:rsidP="003F70A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025" w:type="dxa"/>
            <w:vMerge/>
            <w:vAlign w:val="center"/>
          </w:tcPr>
          <w:p w14:paraId="612ADB00" w14:textId="77777777" w:rsidR="00AA7843" w:rsidRPr="009613A1" w:rsidRDefault="00AA7843" w:rsidP="003F70A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right w:val="nil"/>
            </w:tcBorders>
            <w:vAlign w:val="center"/>
          </w:tcPr>
          <w:p w14:paraId="44208BAE" w14:textId="2C6A551B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min</w:t>
            </w:r>
            <w:r w:rsidR="00C2729E" w:rsidRPr="009613A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</w:tcBorders>
            <w:vAlign w:val="center"/>
          </w:tcPr>
          <w:p w14:paraId="2F9B75A4" w14:textId="4EA2023A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013" w:type="dxa"/>
            <w:tcBorders>
              <w:top w:val="nil"/>
              <w:right w:val="nil"/>
            </w:tcBorders>
            <w:vAlign w:val="center"/>
          </w:tcPr>
          <w:p w14:paraId="6BC0779E" w14:textId="505EC414" w:rsidR="00AA7843" w:rsidRPr="009613A1" w:rsidRDefault="00AA7843" w:rsidP="00AA784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013" w:type="dxa"/>
            <w:tcBorders>
              <w:top w:val="nil"/>
              <w:left w:val="nil"/>
            </w:tcBorders>
            <w:vAlign w:val="center"/>
          </w:tcPr>
          <w:p w14:paraId="79FCEFD6" w14:textId="5E9517D1" w:rsidR="00AA7843" w:rsidRPr="009613A1" w:rsidRDefault="00AA7843" w:rsidP="00AA784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max</w:t>
            </w:r>
          </w:p>
        </w:tc>
      </w:tr>
      <w:tr w:rsidR="00AA7843" w:rsidRPr="009613A1" w14:paraId="76019C9A" w14:textId="77777777" w:rsidTr="000234AB">
        <w:tc>
          <w:tcPr>
            <w:tcW w:w="534" w:type="dxa"/>
            <w:vAlign w:val="center"/>
          </w:tcPr>
          <w:p w14:paraId="4863B1F7" w14:textId="77777777" w:rsidR="00AA7843" w:rsidRPr="009613A1" w:rsidRDefault="00AA7843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33AF20FB" w14:textId="49402E66" w:rsidR="00AA7843" w:rsidRPr="009613A1" w:rsidRDefault="00AA7843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Норильский никель (Заполярный филиал)</w:t>
            </w:r>
          </w:p>
        </w:tc>
        <w:tc>
          <w:tcPr>
            <w:tcW w:w="2025" w:type="dxa"/>
            <w:vAlign w:val="center"/>
          </w:tcPr>
          <w:p w14:paraId="60910543" w14:textId="23374049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948 751</w:t>
            </w:r>
          </w:p>
        </w:tc>
        <w:tc>
          <w:tcPr>
            <w:tcW w:w="2025" w:type="dxa"/>
            <w:vAlign w:val="center"/>
          </w:tcPr>
          <w:p w14:paraId="3683D181" w14:textId="19AA08F0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968 654</w:t>
            </w:r>
          </w:p>
        </w:tc>
        <w:tc>
          <w:tcPr>
            <w:tcW w:w="2025" w:type="dxa"/>
            <w:vAlign w:val="center"/>
          </w:tcPr>
          <w:p w14:paraId="7A09067F" w14:textId="2B259F8D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928 463</w:t>
            </w:r>
          </w:p>
        </w:tc>
        <w:tc>
          <w:tcPr>
            <w:tcW w:w="1012" w:type="dxa"/>
            <w:vAlign w:val="center"/>
          </w:tcPr>
          <w:p w14:paraId="69DA167A" w14:textId="77777777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47 431</w:t>
            </w:r>
          </w:p>
        </w:tc>
        <w:tc>
          <w:tcPr>
            <w:tcW w:w="1013" w:type="dxa"/>
            <w:vAlign w:val="center"/>
          </w:tcPr>
          <w:p w14:paraId="474B1EA9" w14:textId="2C3434CB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94 862</w:t>
            </w:r>
          </w:p>
        </w:tc>
        <w:tc>
          <w:tcPr>
            <w:tcW w:w="1013" w:type="dxa"/>
            <w:vAlign w:val="center"/>
          </w:tcPr>
          <w:p w14:paraId="1FB5CFB3" w14:textId="2FA1BEA4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013" w:type="dxa"/>
            <w:vAlign w:val="center"/>
          </w:tcPr>
          <w:p w14:paraId="27E42239" w14:textId="6B1B76DD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</w:tr>
      <w:tr w:rsidR="00AA7843" w:rsidRPr="009613A1" w14:paraId="2F47D836" w14:textId="77777777" w:rsidTr="000234AB">
        <w:tc>
          <w:tcPr>
            <w:tcW w:w="534" w:type="dxa"/>
            <w:vAlign w:val="center"/>
          </w:tcPr>
          <w:p w14:paraId="36E1AD1E" w14:textId="77777777" w:rsidR="00AA7843" w:rsidRPr="009613A1" w:rsidRDefault="00AA7843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0ABB2467" w14:textId="6991125B" w:rsidR="00AA7843" w:rsidRPr="009613A1" w:rsidRDefault="00AA7843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Новолипецкий металлургический комбинат (липецкая производственная площадка)</w:t>
            </w:r>
          </w:p>
        </w:tc>
        <w:tc>
          <w:tcPr>
            <w:tcW w:w="2025" w:type="dxa"/>
            <w:vAlign w:val="center"/>
          </w:tcPr>
          <w:p w14:paraId="4870485A" w14:textId="5D66BF2F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452 340</w:t>
            </w:r>
          </w:p>
        </w:tc>
        <w:tc>
          <w:tcPr>
            <w:tcW w:w="2025" w:type="dxa"/>
            <w:vAlign w:val="center"/>
          </w:tcPr>
          <w:p w14:paraId="169482BC" w14:textId="49C15B8B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470 080</w:t>
            </w:r>
          </w:p>
        </w:tc>
        <w:tc>
          <w:tcPr>
            <w:tcW w:w="2025" w:type="dxa"/>
            <w:vAlign w:val="center"/>
          </w:tcPr>
          <w:p w14:paraId="5A681833" w14:textId="19E1CBCD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847 205</w:t>
            </w:r>
          </w:p>
        </w:tc>
        <w:tc>
          <w:tcPr>
            <w:tcW w:w="1012" w:type="dxa"/>
            <w:vAlign w:val="center"/>
          </w:tcPr>
          <w:p w14:paraId="53C630E9" w14:textId="77777777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29 493</w:t>
            </w:r>
          </w:p>
        </w:tc>
        <w:tc>
          <w:tcPr>
            <w:tcW w:w="1013" w:type="dxa"/>
            <w:vAlign w:val="center"/>
          </w:tcPr>
          <w:p w14:paraId="66753551" w14:textId="2B82CB83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58 987</w:t>
            </w:r>
          </w:p>
        </w:tc>
        <w:tc>
          <w:tcPr>
            <w:tcW w:w="1013" w:type="dxa"/>
            <w:vAlign w:val="center"/>
          </w:tcPr>
          <w:p w14:paraId="1790FB6B" w14:textId="3E2C9D38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23</w:t>
            </w:r>
            <w:r w:rsidR="00031521"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 </w:t>
            </w: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061</w:t>
            </w:r>
          </w:p>
        </w:tc>
        <w:tc>
          <w:tcPr>
            <w:tcW w:w="1013" w:type="dxa"/>
            <w:vAlign w:val="center"/>
          </w:tcPr>
          <w:p w14:paraId="398B47A2" w14:textId="50985139" w:rsidR="00AA7843" w:rsidRPr="009613A1" w:rsidRDefault="00AA7843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46</w:t>
            </w:r>
            <w:r w:rsidR="00031521"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 </w:t>
            </w: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121</w:t>
            </w:r>
          </w:p>
        </w:tc>
      </w:tr>
      <w:tr w:rsidR="00AA7843" w:rsidRPr="009613A1" w14:paraId="42BEF5F4" w14:textId="77777777" w:rsidTr="000234AB">
        <w:tc>
          <w:tcPr>
            <w:tcW w:w="534" w:type="dxa"/>
            <w:vAlign w:val="center"/>
          </w:tcPr>
          <w:p w14:paraId="723E5898" w14:textId="77777777" w:rsidR="00AA7843" w:rsidRPr="009613A1" w:rsidRDefault="00AA7843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5CD9BC46" w14:textId="4EE5E7DD" w:rsidR="00AA7843" w:rsidRPr="009613A1" w:rsidRDefault="00AA7843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Магнитогорский металлургический комбинат (стальной сегмент Россия)</w:t>
            </w:r>
          </w:p>
        </w:tc>
        <w:tc>
          <w:tcPr>
            <w:tcW w:w="2025" w:type="dxa"/>
            <w:vAlign w:val="center"/>
          </w:tcPr>
          <w:p w14:paraId="2818A96A" w14:textId="065424F5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466 944</w:t>
            </w:r>
          </w:p>
        </w:tc>
        <w:tc>
          <w:tcPr>
            <w:tcW w:w="2025" w:type="dxa"/>
            <w:vAlign w:val="center"/>
          </w:tcPr>
          <w:p w14:paraId="55281522" w14:textId="651A884B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431 895</w:t>
            </w:r>
          </w:p>
        </w:tc>
        <w:tc>
          <w:tcPr>
            <w:tcW w:w="2025" w:type="dxa"/>
            <w:vAlign w:val="center"/>
          </w:tcPr>
          <w:p w14:paraId="7DBF9A15" w14:textId="45EB956A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817 737</w:t>
            </w:r>
          </w:p>
        </w:tc>
        <w:tc>
          <w:tcPr>
            <w:tcW w:w="1012" w:type="dxa"/>
            <w:vAlign w:val="center"/>
          </w:tcPr>
          <w:p w14:paraId="5D0B9B77" w14:textId="77777777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28 609</w:t>
            </w:r>
          </w:p>
        </w:tc>
        <w:tc>
          <w:tcPr>
            <w:tcW w:w="1013" w:type="dxa"/>
            <w:vAlign w:val="center"/>
          </w:tcPr>
          <w:p w14:paraId="3A870493" w14:textId="654D2EDC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57 219</w:t>
            </w:r>
          </w:p>
        </w:tc>
        <w:tc>
          <w:tcPr>
            <w:tcW w:w="1013" w:type="dxa"/>
            <w:vAlign w:val="center"/>
          </w:tcPr>
          <w:p w14:paraId="16A595F9" w14:textId="7E70D66A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22</w:t>
            </w:r>
            <w:r w:rsidR="00031521"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 </w:t>
            </w: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471</w:t>
            </w:r>
          </w:p>
        </w:tc>
        <w:tc>
          <w:tcPr>
            <w:tcW w:w="1013" w:type="dxa"/>
            <w:vAlign w:val="center"/>
          </w:tcPr>
          <w:p w14:paraId="68C7596F" w14:textId="49DE9120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44</w:t>
            </w:r>
            <w:r w:rsidR="00031521"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 </w:t>
            </w: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942</w:t>
            </w:r>
          </w:p>
        </w:tc>
      </w:tr>
      <w:tr w:rsidR="00AA7843" w:rsidRPr="009613A1" w14:paraId="76F235CF" w14:textId="77777777" w:rsidTr="000234AB">
        <w:tc>
          <w:tcPr>
            <w:tcW w:w="534" w:type="dxa"/>
            <w:vAlign w:val="center"/>
          </w:tcPr>
          <w:p w14:paraId="32EE6A6F" w14:textId="77777777" w:rsidR="00AA7843" w:rsidRPr="009613A1" w:rsidRDefault="00AA7843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7F75E12A" w14:textId="5C89FFA6" w:rsidR="00AA7843" w:rsidRPr="009613A1" w:rsidRDefault="00AA7843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Северсталь – Российская сталь (Череповецкий металлургический комбинат)</w:t>
            </w:r>
          </w:p>
        </w:tc>
        <w:tc>
          <w:tcPr>
            <w:tcW w:w="2025" w:type="dxa"/>
            <w:vAlign w:val="center"/>
          </w:tcPr>
          <w:p w14:paraId="684BF4FA" w14:textId="4D074387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518 576</w:t>
            </w:r>
          </w:p>
        </w:tc>
        <w:tc>
          <w:tcPr>
            <w:tcW w:w="2025" w:type="dxa"/>
            <w:vAlign w:val="center"/>
          </w:tcPr>
          <w:p w14:paraId="45020A3D" w14:textId="2AB67D7E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495 030</w:t>
            </w:r>
          </w:p>
        </w:tc>
        <w:tc>
          <w:tcPr>
            <w:tcW w:w="2025" w:type="dxa"/>
            <w:vAlign w:val="center"/>
          </w:tcPr>
          <w:p w14:paraId="7A4FA3D1" w14:textId="35F91062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825 546</w:t>
            </w:r>
          </w:p>
        </w:tc>
        <w:tc>
          <w:tcPr>
            <w:tcW w:w="1012" w:type="dxa"/>
            <w:vAlign w:val="center"/>
          </w:tcPr>
          <w:p w14:paraId="7EE222E8" w14:textId="77777777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30 652</w:t>
            </w:r>
          </w:p>
        </w:tc>
        <w:tc>
          <w:tcPr>
            <w:tcW w:w="1013" w:type="dxa"/>
            <w:vAlign w:val="center"/>
          </w:tcPr>
          <w:p w14:paraId="5C4C8B13" w14:textId="235494EE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61 305</w:t>
            </w:r>
          </w:p>
        </w:tc>
        <w:tc>
          <w:tcPr>
            <w:tcW w:w="1013" w:type="dxa"/>
            <w:vAlign w:val="center"/>
          </w:tcPr>
          <w:p w14:paraId="080FC22E" w14:textId="7A7252C3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25</w:t>
            </w:r>
            <w:r w:rsidR="00031521"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 </w:t>
            </w: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340</w:t>
            </w:r>
          </w:p>
        </w:tc>
        <w:tc>
          <w:tcPr>
            <w:tcW w:w="1013" w:type="dxa"/>
            <w:vAlign w:val="center"/>
          </w:tcPr>
          <w:p w14:paraId="7F80455E" w14:textId="0EDDF063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50</w:t>
            </w:r>
            <w:r w:rsidR="00031521"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 </w:t>
            </w: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680</w:t>
            </w:r>
          </w:p>
        </w:tc>
      </w:tr>
      <w:tr w:rsidR="00AA7843" w:rsidRPr="009613A1" w14:paraId="7E3DDA5B" w14:textId="77777777" w:rsidTr="000234AB">
        <w:tc>
          <w:tcPr>
            <w:tcW w:w="534" w:type="dxa"/>
            <w:vAlign w:val="center"/>
          </w:tcPr>
          <w:p w14:paraId="45074068" w14:textId="77777777" w:rsidR="00AA7843" w:rsidRPr="009613A1" w:rsidRDefault="00AA7843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423EB983" w14:textId="35216F47" w:rsidR="00AA7843" w:rsidRPr="009613A1" w:rsidRDefault="00AA7843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Красноярский алюминиевый завод (РУСАЛ Красноярск)</w:t>
            </w:r>
          </w:p>
        </w:tc>
        <w:tc>
          <w:tcPr>
            <w:tcW w:w="2025" w:type="dxa"/>
            <w:vAlign w:val="center"/>
          </w:tcPr>
          <w:p w14:paraId="7B5FA75C" w14:textId="2EF64FA0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333333"/>
              </w:rPr>
              <w:t>69 880</w:t>
            </w:r>
          </w:p>
        </w:tc>
        <w:tc>
          <w:tcPr>
            <w:tcW w:w="2025" w:type="dxa"/>
            <w:vAlign w:val="center"/>
          </w:tcPr>
          <w:p w14:paraId="1FA46D49" w14:textId="3A5986AA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333333"/>
              </w:rPr>
              <w:t>70 293</w:t>
            </w:r>
          </w:p>
        </w:tc>
        <w:tc>
          <w:tcPr>
            <w:tcW w:w="2025" w:type="dxa"/>
            <w:vAlign w:val="center"/>
          </w:tcPr>
          <w:p w14:paraId="02013C8D" w14:textId="179003EC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333333"/>
              </w:rPr>
              <w:t>82 404</w:t>
            </w:r>
          </w:p>
        </w:tc>
        <w:tc>
          <w:tcPr>
            <w:tcW w:w="1012" w:type="dxa"/>
            <w:vAlign w:val="center"/>
          </w:tcPr>
          <w:p w14:paraId="73D9F20F" w14:textId="77777777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3 709</w:t>
            </w:r>
          </w:p>
        </w:tc>
        <w:tc>
          <w:tcPr>
            <w:tcW w:w="1013" w:type="dxa"/>
            <w:vAlign w:val="center"/>
          </w:tcPr>
          <w:p w14:paraId="047C9517" w14:textId="173F562E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7 419</w:t>
            </w:r>
          </w:p>
        </w:tc>
        <w:tc>
          <w:tcPr>
            <w:tcW w:w="1013" w:type="dxa"/>
            <w:vAlign w:val="center"/>
          </w:tcPr>
          <w:p w14:paraId="3DA989EF" w14:textId="17ABDB99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013" w:type="dxa"/>
            <w:vAlign w:val="center"/>
          </w:tcPr>
          <w:p w14:paraId="3A7038BF" w14:textId="371431DB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</w:tr>
      <w:tr w:rsidR="00AA7843" w:rsidRPr="009613A1" w14:paraId="4BB24FAB" w14:textId="77777777" w:rsidTr="000234AB">
        <w:tc>
          <w:tcPr>
            <w:tcW w:w="534" w:type="dxa"/>
            <w:vAlign w:val="center"/>
          </w:tcPr>
          <w:p w14:paraId="25EEC3F4" w14:textId="77777777" w:rsidR="00AA7843" w:rsidRPr="009613A1" w:rsidRDefault="00AA7843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53E03AE3" w14:textId="5EB6C6D1" w:rsidR="00AA7843" w:rsidRPr="009613A1" w:rsidRDefault="00AA7843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Братский алюминиевый завод (РУСАЛ Братск)</w:t>
            </w:r>
          </w:p>
        </w:tc>
        <w:tc>
          <w:tcPr>
            <w:tcW w:w="2025" w:type="dxa"/>
            <w:vAlign w:val="center"/>
          </w:tcPr>
          <w:p w14:paraId="5C3FE8BC" w14:textId="0AF33840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333333"/>
              </w:rPr>
              <w:t>103 533</w:t>
            </w:r>
          </w:p>
        </w:tc>
        <w:tc>
          <w:tcPr>
            <w:tcW w:w="2025" w:type="dxa"/>
            <w:vAlign w:val="center"/>
          </w:tcPr>
          <w:p w14:paraId="1AD05F13" w14:textId="2FC1959D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333333"/>
              </w:rPr>
              <w:t>100 371</w:t>
            </w:r>
          </w:p>
        </w:tc>
        <w:tc>
          <w:tcPr>
            <w:tcW w:w="2025" w:type="dxa"/>
            <w:vAlign w:val="center"/>
          </w:tcPr>
          <w:p w14:paraId="46DC0929" w14:textId="309581E0" w:rsidR="00AA7843" w:rsidRPr="009613A1" w:rsidRDefault="00AA7843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333333"/>
              </w:rPr>
              <w:t>114 123</w:t>
            </w:r>
          </w:p>
        </w:tc>
        <w:tc>
          <w:tcPr>
            <w:tcW w:w="1012" w:type="dxa"/>
            <w:vAlign w:val="center"/>
          </w:tcPr>
          <w:p w14:paraId="6878DB20" w14:textId="77777777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5 300</w:t>
            </w:r>
          </w:p>
        </w:tc>
        <w:tc>
          <w:tcPr>
            <w:tcW w:w="1013" w:type="dxa"/>
            <w:vAlign w:val="center"/>
          </w:tcPr>
          <w:p w14:paraId="025838A6" w14:textId="1724590C" w:rsidR="00AA7843" w:rsidRPr="009613A1" w:rsidRDefault="00AA7843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10 601</w:t>
            </w:r>
          </w:p>
        </w:tc>
        <w:tc>
          <w:tcPr>
            <w:tcW w:w="1013" w:type="dxa"/>
            <w:vAlign w:val="center"/>
          </w:tcPr>
          <w:p w14:paraId="0BA9A869" w14:textId="1CC97E05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013" w:type="dxa"/>
            <w:vAlign w:val="center"/>
          </w:tcPr>
          <w:p w14:paraId="0D81E81D" w14:textId="78F44906" w:rsidR="00AA7843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</w:tr>
      <w:tr w:rsidR="000234AB" w:rsidRPr="009613A1" w14:paraId="10DF7182" w14:textId="77777777" w:rsidTr="000234AB">
        <w:tc>
          <w:tcPr>
            <w:tcW w:w="534" w:type="dxa"/>
            <w:vAlign w:val="center"/>
          </w:tcPr>
          <w:p w14:paraId="12A72745" w14:textId="77777777" w:rsidR="000234AB" w:rsidRPr="009613A1" w:rsidRDefault="000234AB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319A34DE" w14:textId="6036D433" w:rsidR="000234AB" w:rsidRPr="009613A1" w:rsidRDefault="000234AB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Западно-сибирский металлургический комбинат (ЕВРАЗ ЗСМК, Новокузнецк)</w:t>
            </w:r>
          </w:p>
        </w:tc>
        <w:tc>
          <w:tcPr>
            <w:tcW w:w="2025" w:type="dxa"/>
            <w:vAlign w:val="center"/>
          </w:tcPr>
          <w:p w14:paraId="03EB0856" w14:textId="72A4400B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214 055</w:t>
            </w:r>
          </w:p>
        </w:tc>
        <w:tc>
          <w:tcPr>
            <w:tcW w:w="2025" w:type="dxa"/>
            <w:vAlign w:val="center"/>
          </w:tcPr>
          <w:p w14:paraId="6AAB7CFE" w14:textId="2239E5C0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241 356</w:t>
            </w:r>
          </w:p>
        </w:tc>
        <w:tc>
          <w:tcPr>
            <w:tcW w:w="2025" w:type="dxa"/>
            <w:vAlign w:val="center"/>
          </w:tcPr>
          <w:p w14:paraId="4FE70D7D" w14:textId="222FC50D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365 255</w:t>
            </w:r>
          </w:p>
        </w:tc>
        <w:tc>
          <w:tcPr>
            <w:tcW w:w="1012" w:type="dxa"/>
            <w:vAlign w:val="center"/>
          </w:tcPr>
          <w:p w14:paraId="0DD70E53" w14:textId="77777777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13 677</w:t>
            </w:r>
          </w:p>
        </w:tc>
        <w:tc>
          <w:tcPr>
            <w:tcW w:w="1013" w:type="dxa"/>
            <w:vAlign w:val="center"/>
          </w:tcPr>
          <w:p w14:paraId="6DFD5FDB" w14:textId="00CE8528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27 355</w:t>
            </w:r>
          </w:p>
        </w:tc>
        <w:tc>
          <w:tcPr>
            <w:tcW w:w="1013" w:type="dxa"/>
            <w:vAlign w:val="center"/>
          </w:tcPr>
          <w:p w14:paraId="2EBDCB2E" w14:textId="735BCF04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11</w:t>
            </w:r>
            <w:r w:rsidR="00031521"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 </w:t>
            </w: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385</w:t>
            </w:r>
          </w:p>
        </w:tc>
        <w:tc>
          <w:tcPr>
            <w:tcW w:w="1013" w:type="dxa"/>
            <w:vAlign w:val="center"/>
          </w:tcPr>
          <w:p w14:paraId="2C534088" w14:textId="2421D07B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22</w:t>
            </w:r>
            <w:r w:rsidR="00031521"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 </w:t>
            </w: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771</w:t>
            </w:r>
          </w:p>
        </w:tc>
      </w:tr>
      <w:tr w:rsidR="000234AB" w:rsidRPr="009613A1" w14:paraId="34D82E02" w14:textId="77777777" w:rsidTr="000234AB">
        <w:tc>
          <w:tcPr>
            <w:tcW w:w="534" w:type="dxa"/>
            <w:vAlign w:val="center"/>
          </w:tcPr>
          <w:p w14:paraId="6AF35BC5" w14:textId="77777777" w:rsidR="000234AB" w:rsidRPr="009613A1" w:rsidRDefault="000234AB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15148616" w14:textId="32779B9E" w:rsidR="000234AB" w:rsidRPr="009613A1" w:rsidRDefault="000234AB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Нижнетагильский металлургический комбинат (ЕВРАЗ НТМК, Нижний Тагил)</w:t>
            </w:r>
          </w:p>
        </w:tc>
        <w:tc>
          <w:tcPr>
            <w:tcW w:w="2025" w:type="dxa"/>
            <w:vAlign w:val="center"/>
          </w:tcPr>
          <w:p w14:paraId="4F68B4A9" w14:textId="1DA75672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190 749</w:t>
            </w:r>
          </w:p>
        </w:tc>
        <w:tc>
          <w:tcPr>
            <w:tcW w:w="2025" w:type="dxa"/>
            <w:vAlign w:val="center"/>
          </w:tcPr>
          <w:p w14:paraId="7EE799D9" w14:textId="37AC1B45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186 126</w:t>
            </w:r>
          </w:p>
        </w:tc>
        <w:tc>
          <w:tcPr>
            <w:tcW w:w="2025" w:type="dxa"/>
            <w:vAlign w:val="center"/>
          </w:tcPr>
          <w:p w14:paraId="16060D99" w14:textId="609F0752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297 617</w:t>
            </w:r>
          </w:p>
        </w:tc>
        <w:tc>
          <w:tcPr>
            <w:tcW w:w="1012" w:type="dxa"/>
            <w:vAlign w:val="center"/>
          </w:tcPr>
          <w:p w14:paraId="2A1FA2DA" w14:textId="77777777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11 241</w:t>
            </w:r>
          </w:p>
        </w:tc>
        <w:tc>
          <w:tcPr>
            <w:tcW w:w="1013" w:type="dxa"/>
            <w:vAlign w:val="center"/>
          </w:tcPr>
          <w:p w14:paraId="0144727D" w14:textId="0F9033CB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22 483</w:t>
            </w:r>
          </w:p>
        </w:tc>
        <w:tc>
          <w:tcPr>
            <w:tcW w:w="1013" w:type="dxa"/>
            <w:vAlign w:val="center"/>
          </w:tcPr>
          <w:p w14:paraId="3A802657" w14:textId="4047B442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9</w:t>
            </w:r>
            <w:r w:rsidR="00031521"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 </w:t>
            </w: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422</w:t>
            </w:r>
          </w:p>
        </w:tc>
        <w:tc>
          <w:tcPr>
            <w:tcW w:w="1013" w:type="dxa"/>
            <w:vAlign w:val="center"/>
          </w:tcPr>
          <w:p w14:paraId="39E8D8F6" w14:textId="19DB1CF3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18</w:t>
            </w:r>
            <w:r w:rsidR="00031521"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 </w:t>
            </w: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844</w:t>
            </w:r>
          </w:p>
        </w:tc>
      </w:tr>
      <w:tr w:rsidR="000234AB" w:rsidRPr="009613A1" w14:paraId="3CD2293A" w14:textId="77777777" w:rsidTr="000234AB">
        <w:tc>
          <w:tcPr>
            <w:tcW w:w="534" w:type="dxa"/>
            <w:vAlign w:val="center"/>
          </w:tcPr>
          <w:p w14:paraId="6469E375" w14:textId="77777777" w:rsidR="000234AB" w:rsidRPr="009613A1" w:rsidRDefault="000234AB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4D47EC73" w14:textId="49699827" w:rsidR="000234AB" w:rsidRPr="009613A1" w:rsidRDefault="000234AB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Красноярская ТЭЦ-1 (СГК, Красноярск)</w:t>
            </w:r>
          </w:p>
        </w:tc>
        <w:tc>
          <w:tcPr>
            <w:tcW w:w="2025" w:type="dxa"/>
            <w:vAlign w:val="center"/>
          </w:tcPr>
          <w:p w14:paraId="5B46D5A9" w14:textId="4FE8CC26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4 606</w:t>
            </w:r>
          </w:p>
        </w:tc>
        <w:tc>
          <w:tcPr>
            <w:tcW w:w="2025" w:type="dxa"/>
            <w:vAlign w:val="center"/>
          </w:tcPr>
          <w:p w14:paraId="477FA516" w14:textId="30ECB535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4 351</w:t>
            </w:r>
          </w:p>
        </w:tc>
        <w:tc>
          <w:tcPr>
            <w:tcW w:w="2025" w:type="dxa"/>
            <w:vAlign w:val="center"/>
          </w:tcPr>
          <w:p w14:paraId="06ED1E07" w14:textId="03F07F36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4 637</w:t>
            </w:r>
          </w:p>
        </w:tc>
        <w:tc>
          <w:tcPr>
            <w:tcW w:w="1012" w:type="dxa"/>
            <w:vAlign w:val="center"/>
          </w:tcPr>
          <w:p w14:paraId="24F58C9B" w14:textId="77777777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226</w:t>
            </w:r>
          </w:p>
        </w:tc>
        <w:tc>
          <w:tcPr>
            <w:tcW w:w="1013" w:type="dxa"/>
            <w:vAlign w:val="center"/>
          </w:tcPr>
          <w:p w14:paraId="51A5AEA2" w14:textId="547EF122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453</w:t>
            </w:r>
          </w:p>
        </w:tc>
        <w:tc>
          <w:tcPr>
            <w:tcW w:w="1013" w:type="dxa"/>
            <w:vAlign w:val="center"/>
          </w:tcPr>
          <w:p w14:paraId="75340B4B" w14:textId="10E3CDAA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013" w:type="dxa"/>
            <w:vAlign w:val="center"/>
          </w:tcPr>
          <w:p w14:paraId="5C29709D" w14:textId="0E55A14B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</w:tr>
      <w:tr w:rsidR="000234AB" w:rsidRPr="009613A1" w14:paraId="58341D98" w14:textId="77777777" w:rsidTr="000234AB">
        <w:tc>
          <w:tcPr>
            <w:tcW w:w="534" w:type="dxa"/>
            <w:vAlign w:val="center"/>
          </w:tcPr>
          <w:p w14:paraId="65846904" w14:textId="77777777" w:rsidR="000234AB" w:rsidRPr="009613A1" w:rsidRDefault="000234AB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23BD9B37" w14:textId="6BE5838B" w:rsidR="000234AB" w:rsidRPr="009613A1" w:rsidRDefault="000234AB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Енисейская ТГК (СГК, Красноярск)</w:t>
            </w:r>
          </w:p>
        </w:tc>
        <w:tc>
          <w:tcPr>
            <w:tcW w:w="2025" w:type="dxa"/>
            <w:vAlign w:val="center"/>
          </w:tcPr>
          <w:p w14:paraId="3BF861E0" w14:textId="3C4CDCA3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33 216</w:t>
            </w:r>
          </w:p>
        </w:tc>
        <w:tc>
          <w:tcPr>
            <w:tcW w:w="2025" w:type="dxa"/>
            <w:vAlign w:val="center"/>
          </w:tcPr>
          <w:p w14:paraId="42CFA07F" w14:textId="6BB91E85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35 002</w:t>
            </w:r>
          </w:p>
        </w:tc>
        <w:tc>
          <w:tcPr>
            <w:tcW w:w="2025" w:type="dxa"/>
            <w:vAlign w:val="center"/>
          </w:tcPr>
          <w:p w14:paraId="324D04F9" w14:textId="37D4D532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39 043</w:t>
            </w:r>
          </w:p>
        </w:tc>
        <w:tc>
          <w:tcPr>
            <w:tcW w:w="1012" w:type="dxa"/>
            <w:vAlign w:val="center"/>
          </w:tcPr>
          <w:p w14:paraId="6F1B9FAD" w14:textId="77777777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1 788</w:t>
            </w:r>
          </w:p>
        </w:tc>
        <w:tc>
          <w:tcPr>
            <w:tcW w:w="1013" w:type="dxa"/>
            <w:vAlign w:val="center"/>
          </w:tcPr>
          <w:p w14:paraId="4FC4A052" w14:textId="61D9799E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3 575</w:t>
            </w:r>
          </w:p>
        </w:tc>
        <w:tc>
          <w:tcPr>
            <w:tcW w:w="1013" w:type="dxa"/>
            <w:vAlign w:val="center"/>
          </w:tcPr>
          <w:p w14:paraId="03E831D9" w14:textId="06196602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013" w:type="dxa"/>
            <w:vAlign w:val="center"/>
          </w:tcPr>
          <w:p w14:paraId="454737CA" w14:textId="176B1134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</w:tr>
      <w:tr w:rsidR="000234AB" w:rsidRPr="009613A1" w14:paraId="185B2911" w14:textId="77777777" w:rsidTr="000234AB">
        <w:tc>
          <w:tcPr>
            <w:tcW w:w="534" w:type="dxa"/>
            <w:vAlign w:val="center"/>
          </w:tcPr>
          <w:p w14:paraId="6260288F" w14:textId="77777777" w:rsidR="000234AB" w:rsidRPr="009613A1" w:rsidRDefault="000234AB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1E00D5B6" w14:textId="5EF46F85" w:rsidR="000234AB" w:rsidRPr="009613A1" w:rsidRDefault="000234AB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Челябинский цинковый завод (УГМК, Челябинск)</w:t>
            </w:r>
          </w:p>
        </w:tc>
        <w:tc>
          <w:tcPr>
            <w:tcW w:w="2025" w:type="dxa"/>
            <w:vAlign w:val="center"/>
          </w:tcPr>
          <w:p w14:paraId="21135FD7" w14:textId="7B03A2D2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26 500</w:t>
            </w:r>
          </w:p>
        </w:tc>
        <w:tc>
          <w:tcPr>
            <w:tcW w:w="2025" w:type="dxa"/>
            <w:vAlign w:val="center"/>
          </w:tcPr>
          <w:p w14:paraId="7F5081D6" w14:textId="558A5351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26 700</w:t>
            </w:r>
          </w:p>
        </w:tc>
        <w:tc>
          <w:tcPr>
            <w:tcW w:w="2025" w:type="dxa"/>
            <w:vAlign w:val="center"/>
          </w:tcPr>
          <w:p w14:paraId="4E91DA90" w14:textId="36AB1C2C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29 400</w:t>
            </w:r>
          </w:p>
        </w:tc>
        <w:tc>
          <w:tcPr>
            <w:tcW w:w="1012" w:type="dxa"/>
            <w:vAlign w:val="center"/>
          </w:tcPr>
          <w:p w14:paraId="4EA96E8F" w14:textId="77777777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1 377</w:t>
            </w:r>
          </w:p>
        </w:tc>
        <w:tc>
          <w:tcPr>
            <w:tcW w:w="1013" w:type="dxa"/>
            <w:vAlign w:val="center"/>
          </w:tcPr>
          <w:p w14:paraId="4C7AAED6" w14:textId="1FC4742C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2 753</w:t>
            </w:r>
          </w:p>
        </w:tc>
        <w:tc>
          <w:tcPr>
            <w:tcW w:w="1013" w:type="dxa"/>
            <w:vAlign w:val="center"/>
          </w:tcPr>
          <w:p w14:paraId="15CA99D5" w14:textId="017FAD65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013" w:type="dxa"/>
            <w:vAlign w:val="center"/>
          </w:tcPr>
          <w:p w14:paraId="1992307F" w14:textId="1A2BA355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</w:tr>
      <w:tr w:rsidR="000234AB" w:rsidRPr="009613A1" w14:paraId="64D267F1" w14:textId="77777777" w:rsidTr="000234AB">
        <w:tc>
          <w:tcPr>
            <w:tcW w:w="534" w:type="dxa"/>
            <w:vAlign w:val="center"/>
          </w:tcPr>
          <w:p w14:paraId="7C433C1A" w14:textId="77777777" w:rsidR="000234AB" w:rsidRPr="009613A1" w:rsidRDefault="000234AB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3A65A3DD" w14:textId="62671D40" w:rsidR="000234AB" w:rsidRPr="009613A1" w:rsidRDefault="000234AB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Медногорский медно-серный комбинат (УГМК, Медногорск)</w:t>
            </w:r>
          </w:p>
        </w:tc>
        <w:tc>
          <w:tcPr>
            <w:tcW w:w="2025" w:type="dxa"/>
            <w:vAlign w:val="center"/>
          </w:tcPr>
          <w:p w14:paraId="684C16D8" w14:textId="5D64A457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7 704</w:t>
            </w:r>
          </w:p>
        </w:tc>
        <w:tc>
          <w:tcPr>
            <w:tcW w:w="2025" w:type="dxa"/>
            <w:vAlign w:val="center"/>
          </w:tcPr>
          <w:p w14:paraId="4A155A33" w14:textId="79018E12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10 704</w:t>
            </w:r>
          </w:p>
        </w:tc>
        <w:tc>
          <w:tcPr>
            <w:tcW w:w="2025" w:type="dxa"/>
            <w:vAlign w:val="center"/>
          </w:tcPr>
          <w:p w14:paraId="3032286D" w14:textId="4BB43B07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9 796</w:t>
            </w:r>
          </w:p>
        </w:tc>
        <w:tc>
          <w:tcPr>
            <w:tcW w:w="1012" w:type="dxa"/>
            <w:vAlign w:val="center"/>
          </w:tcPr>
          <w:p w14:paraId="3046A8DD" w14:textId="77777777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470</w:t>
            </w:r>
          </w:p>
        </w:tc>
        <w:tc>
          <w:tcPr>
            <w:tcW w:w="1013" w:type="dxa"/>
            <w:vAlign w:val="center"/>
          </w:tcPr>
          <w:p w14:paraId="0F45A588" w14:textId="717BAA71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940</w:t>
            </w:r>
          </w:p>
        </w:tc>
        <w:tc>
          <w:tcPr>
            <w:tcW w:w="1013" w:type="dxa"/>
            <w:vAlign w:val="center"/>
          </w:tcPr>
          <w:p w14:paraId="44FF4080" w14:textId="1725AABB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013" w:type="dxa"/>
            <w:vAlign w:val="center"/>
          </w:tcPr>
          <w:p w14:paraId="7DEC1444" w14:textId="1B13856A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</w:tr>
      <w:tr w:rsidR="000234AB" w:rsidRPr="009613A1" w14:paraId="441D08DB" w14:textId="77777777" w:rsidTr="000234AB">
        <w:tc>
          <w:tcPr>
            <w:tcW w:w="534" w:type="dxa"/>
            <w:vAlign w:val="center"/>
          </w:tcPr>
          <w:p w14:paraId="76EA7079" w14:textId="77777777" w:rsidR="000234AB" w:rsidRPr="009613A1" w:rsidRDefault="000234AB" w:rsidP="003F70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16" w:type="dxa"/>
          </w:tcPr>
          <w:p w14:paraId="1AE9CFB0" w14:textId="6DB8C90E" w:rsidR="000234AB" w:rsidRPr="009613A1" w:rsidRDefault="000234AB" w:rsidP="003F70A0">
            <w:pPr>
              <w:spacing w:before="20" w:after="40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hAnsi="Times New Roman" w:cs="Times New Roman"/>
                <w:b w:val="0"/>
                <w:color w:val="auto"/>
              </w:rPr>
              <w:t>Омский нефтеперерабатывающий завод (Газпром нефть)</w:t>
            </w:r>
          </w:p>
        </w:tc>
        <w:tc>
          <w:tcPr>
            <w:tcW w:w="2025" w:type="dxa"/>
            <w:vAlign w:val="center"/>
          </w:tcPr>
          <w:p w14:paraId="16D164FD" w14:textId="5C496A5C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333333"/>
              </w:rPr>
              <w:t>44 918</w:t>
            </w:r>
          </w:p>
        </w:tc>
        <w:tc>
          <w:tcPr>
            <w:tcW w:w="2025" w:type="dxa"/>
            <w:vAlign w:val="center"/>
          </w:tcPr>
          <w:p w14:paraId="7A1BED69" w14:textId="07823E11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333333"/>
              </w:rPr>
              <w:t>45 001</w:t>
            </w:r>
          </w:p>
        </w:tc>
        <w:tc>
          <w:tcPr>
            <w:tcW w:w="2025" w:type="dxa"/>
            <w:vAlign w:val="center"/>
          </w:tcPr>
          <w:p w14:paraId="1C6FDB7E" w14:textId="2A93C235" w:rsidR="000234AB" w:rsidRPr="009613A1" w:rsidRDefault="000234AB" w:rsidP="003F70A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333333"/>
              </w:rPr>
              <w:t>57 290</w:t>
            </w:r>
          </w:p>
        </w:tc>
        <w:tc>
          <w:tcPr>
            <w:tcW w:w="1012" w:type="dxa"/>
            <w:vAlign w:val="center"/>
          </w:tcPr>
          <w:p w14:paraId="24D65947" w14:textId="77777777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2 453</w:t>
            </w:r>
          </w:p>
        </w:tc>
        <w:tc>
          <w:tcPr>
            <w:tcW w:w="1013" w:type="dxa"/>
            <w:vAlign w:val="center"/>
          </w:tcPr>
          <w:p w14:paraId="0A443E7A" w14:textId="4E0B5C07" w:rsidR="000234AB" w:rsidRPr="009613A1" w:rsidRDefault="000234AB" w:rsidP="00C461C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4 907</w:t>
            </w:r>
          </w:p>
        </w:tc>
        <w:tc>
          <w:tcPr>
            <w:tcW w:w="1013" w:type="dxa"/>
            <w:vAlign w:val="center"/>
          </w:tcPr>
          <w:p w14:paraId="6DFBFA18" w14:textId="56F1FB8D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1013" w:type="dxa"/>
            <w:vAlign w:val="center"/>
          </w:tcPr>
          <w:p w14:paraId="771D8FA8" w14:textId="1C4C2FB9" w:rsidR="000234AB" w:rsidRPr="009613A1" w:rsidRDefault="000234AB" w:rsidP="000234A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613A1">
              <w:rPr>
                <w:rFonts w:ascii="Times New Roman" w:eastAsia="Times New Roman" w:hAnsi="Times New Roman" w:cs="Times New Roman"/>
                <w:b w:val="0"/>
                <w:color w:val="000000"/>
              </w:rPr>
              <w:t>-</w:t>
            </w:r>
          </w:p>
        </w:tc>
      </w:tr>
    </w:tbl>
    <w:p w14:paraId="0787D6D5" w14:textId="77777777" w:rsidR="005A28B3" w:rsidRPr="00952CC2" w:rsidRDefault="005A28B3" w:rsidP="005A28B3">
      <w:pPr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14:paraId="6526C293" w14:textId="6AE16A6B" w:rsidR="00C2729E" w:rsidRPr="00952CC2" w:rsidRDefault="00C2729E" w:rsidP="005A28B3">
      <w:pPr>
        <w:jc w:val="both"/>
        <w:rPr>
          <w:rFonts w:ascii="Times New Roman" w:hAnsi="Times New Roman" w:cs="Times New Roman"/>
          <w:b w:val="0"/>
          <w:color w:val="auto"/>
        </w:rPr>
      </w:pPr>
      <w:r w:rsidRPr="00952CC2">
        <w:rPr>
          <w:rFonts w:ascii="Times New Roman" w:hAnsi="Times New Roman" w:cs="Times New Roman"/>
          <w:b w:val="0"/>
          <w:color w:val="auto"/>
        </w:rPr>
        <w:t>Пояснения к таблице:</w:t>
      </w:r>
    </w:p>
    <w:p w14:paraId="1B035BB2" w14:textId="34311E23" w:rsidR="00C2729E" w:rsidRPr="00952CC2" w:rsidRDefault="00C2729E" w:rsidP="009613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952CC2">
        <w:rPr>
          <w:rFonts w:ascii="Times New Roman" w:hAnsi="Times New Roman" w:cs="Times New Roman"/>
          <w:b w:val="0"/>
          <w:color w:val="auto"/>
        </w:rPr>
        <w:t xml:space="preserve">Данные о </w:t>
      </w:r>
      <w:r w:rsidR="009613A1" w:rsidRPr="00952CC2">
        <w:rPr>
          <w:rFonts w:ascii="Times New Roman" w:hAnsi="Times New Roman" w:cs="Times New Roman"/>
          <w:b w:val="0"/>
          <w:color w:val="auto"/>
        </w:rPr>
        <w:t xml:space="preserve">рублевой </w:t>
      </w:r>
      <w:r w:rsidRPr="00952CC2">
        <w:rPr>
          <w:rFonts w:ascii="Times New Roman" w:hAnsi="Times New Roman" w:cs="Times New Roman"/>
          <w:b w:val="0"/>
          <w:color w:val="auto"/>
        </w:rPr>
        <w:t>выручке предприятий в строках 1 – 4 получены пересчетом из выручки, номинир</w:t>
      </w:r>
      <w:r w:rsidR="009613A1" w:rsidRPr="00952CC2">
        <w:rPr>
          <w:rFonts w:ascii="Times New Roman" w:hAnsi="Times New Roman" w:cs="Times New Roman"/>
          <w:b w:val="0"/>
          <w:color w:val="auto"/>
        </w:rPr>
        <w:t xml:space="preserve">ованной в американских долларах и приведенной в годовых (финансовых) отчетах соответствующих материнских компаний, путем умножения последней на среднегодовой курс доллара за каждый из рассматриваемых периодов. </w:t>
      </w:r>
    </w:p>
    <w:p w14:paraId="43EAB71D" w14:textId="17D78E82" w:rsidR="009613A1" w:rsidRPr="00952CC2" w:rsidRDefault="009613A1" w:rsidP="009613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952CC2">
        <w:rPr>
          <w:rFonts w:ascii="Times New Roman" w:hAnsi="Times New Roman" w:cs="Times New Roman"/>
          <w:b w:val="0"/>
          <w:color w:val="auto"/>
        </w:rPr>
        <w:t xml:space="preserve">Данные о рублевой выручке предприятий в строках 5 – 13 получены по данным портала </w:t>
      </w:r>
      <w:hyperlink r:id="rId9" w:history="1">
        <w:r w:rsidRPr="00952CC2">
          <w:rPr>
            <w:rStyle w:val="a4"/>
            <w:rFonts w:ascii="Times New Roman" w:hAnsi="Times New Roman" w:cs="Times New Roman"/>
            <w:b w:val="0"/>
          </w:rPr>
          <w:t>https://www.list-org.com</w:t>
        </w:r>
      </w:hyperlink>
      <w:r w:rsidRPr="00952CC2">
        <w:rPr>
          <w:rFonts w:ascii="Times New Roman" w:hAnsi="Times New Roman" w:cs="Times New Roman"/>
          <w:b w:val="0"/>
          <w:color w:val="auto"/>
        </w:rPr>
        <w:t>, использующего данные ФНС России и Росстата, или предоставлены непосредственно компаниями.</w:t>
      </w:r>
    </w:p>
    <w:p w14:paraId="0E633106" w14:textId="210A22F2" w:rsidR="009613A1" w:rsidRPr="00952CC2" w:rsidRDefault="00D40ABC" w:rsidP="009613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952CC2">
        <w:rPr>
          <w:rFonts w:ascii="Times New Roman" w:hAnsi="Times New Roman" w:cs="Times New Roman"/>
          <w:b w:val="0"/>
          <w:color w:val="auto"/>
        </w:rPr>
        <w:t>Для получения более сглаженной оценки размеры потенциальных оборотных штрафов в колонке 6 рассчитывались относительно усредненной за три года выручки компаний, минимальное значение штрафа в соответствии с законопроектом соответствует 1/20 от</w:t>
      </w:r>
      <w:r w:rsidR="00952CC2">
        <w:rPr>
          <w:rFonts w:ascii="Times New Roman" w:hAnsi="Times New Roman" w:cs="Times New Roman"/>
          <w:b w:val="0"/>
          <w:color w:val="auto"/>
        </w:rPr>
        <w:t> </w:t>
      </w:r>
      <w:r w:rsidRPr="00952CC2">
        <w:rPr>
          <w:rFonts w:ascii="Times New Roman" w:hAnsi="Times New Roman" w:cs="Times New Roman"/>
          <w:b w:val="0"/>
          <w:color w:val="auto"/>
        </w:rPr>
        <w:t>выручки, максимальное – 1/10.</w:t>
      </w:r>
    </w:p>
    <w:p w14:paraId="5E9D36A2" w14:textId="35551376" w:rsidR="00952CC2" w:rsidRPr="0039029B" w:rsidRDefault="00D40ABC" w:rsidP="003902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952CC2">
        <w:rPr>
          <w:rFonts w:ascii="Times New Roman" w:hAnsi="Times New Roman" w:cs="Times New Roman"/>
          <w:b w:val="0"/>
          <w:color w:val="auto"/>
        </w:rPr>
        <w:t xml:space="preserve">Для предприятий черной металлургии (строки 2 – 4, 7, 8) в колонке 7 также рассчитаны потенциальные оборотные штрафы </w:t>
      </w:r>
      <w:r w:rsidR="00ED4E69" w:rsidRPr="00952CC2">
        <w:rPr>
          <w:rFonts w:ascii="Times New Roman" w:hAnsi="Times New Roman" w:cs="Times New Roman"/>
          <w:b w:val="0"/>
          <w:color w:val="auto"/>
        </w:rPr>
        <w:t xml:space="preserve">на основании усредненной выручки за 2019 – 2020 годы с тем, чтобы исключить </w:t>
      </w:r>
      <w:r w:rsidR="00952CC2" w:rsidRPr="00952CC2">
        <w:rPr>
          <w:rFonts w:ascii="Times New Roman" w:hAnsi="Times New Roman" w:cs="Times New Roman"/>
          <w:b w:val="0"/>
          <w:color w:val="auto"/>
        </w:rPr>
        <w:t>влияние на оценку крайне позитивной, но в значительной мере исчерпанной к настоящему моменту конъюнктуры 2021 года, в котором прирост выручки к предыдущему периоду для компаний данного сектора составил 50% – 80</w:t>
      </w:r>
      <w:r w:rsidR="00952CC2" w:rsidRPr="00A824A0">
        <w:rPr>
          <w:rFonts w:ascii="Times New Roman" w:hAnsi="Times New Roman" w:cs="Times New Roman"/>
          <w:b w:val="0"/>
          <w:color w:val="auto"/>
        </w:rPr>
        <w:t>%.</w:t>
      </w:r>
    </w:p>
    <w:sectPr w:rsidR="00952CC2" w:rsidRPr="0039029B" w:rsidSect="00416E54">
      <w:pgSz w:w="16840" w:h="11900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DF89" w14:textId="77777777" w:rsidR="00202443" w:rsidRDefault="00202443" w:rsidP="001C298C">
      <w:r>
        <w:separator/>
      </w:r>
    </w:p>
  </w:endnote>
  <w:endnote w:type="continuationSeparator" w:id="0">
    <w:p w14:paraId="73F8A018" w14:textId="77777777" w:rsidR="00202443" w:rsidRDefault="00202443" w:rsidP="001C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A2116" w14:textId="77777777" w:rsidR="00202443" w:rsidRDefault="00202443" w:rsidP="001C298C">
      <w:r>
        <w:separator/>
      </w:r>
    </w:p>
  </w:footnote>
  <w:footnote w:type="continuationSeparator" w:id="0">
    <w:p w14:paraId="2469787A" w14:textId="77777777" w:rsidR="00202443" w:rsidRDefault="00202443" w:rsidP="001C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3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</w:rPr>
    </w:sdtEndPr>
    <w:sdtContent>
      <w:p w14:paraId="72D0D6C2" w14:textId="42326F3A" w:rsidR="00ED4E69" w:rsidRPr="001C298C" w:rsidRDefault="00ED4E69">
        <w:pPr>
          <w:pStyle w:val="a5"/>
          <w:jc w:val="center"/>
          <w:rPr>
            <w:rFonts w:ascii="Times New Roman" w:hAnsi="Times New Roman" w:cs="Times New Roman"/>
            <w:b w:val="0"/>
          </w:rPr>
        </w:pPr>
        <w:r w:rsidRPr="001C298C">
          <w:rPr>
            <w:rFonts w:ascii="Times New Roman" w:hAnsi="Times New Roman" w:cs="Times New Roman"/>
            <w:b w:val="0"/>
          </w:rPr>
          <w:fldChar w:fldCharType="begin"/>
        </w:r>
        <w:r w:rsidRPr="001C298C">
          <w:rPr>
            <w:rFonts w:ascii="Times New Roman" w:hAnsi="Times New Roman" w:cs="Times New Roman"/>
            <w:b w:val="0"/>
          </w:rPr>
          <w:instrText>PAGE   \* MERGEFORMAT</w:instrText>
        </w:r>
        <w:r w:rsidRPr="001C298C">
          <w:rPr>
            <w:rFonts w:ascii="Times New Roman" w:hAnsi="Times New Roman" w:cs="Times New Roman"/>
            <w:b w:val="0"/>
          </w:rPr>
          <w:fldChar w:fldCharType="separate"/>
        </w:r>
        <w:r w:rsidR="00924DFE">
          <w:rPr>
            <w:rFonts w:ascii="Times New Roman" w:hAnsi="Times New Roman" w:cs="Times New Roman"/>
            <w:b w:val="0"/>
            <w:noProof/>
          </w:rPr>
          <w:t>9</w:t>
        </w:r>
        <w:r w:rsidRPr="001C298C">
          <w:rPr>
            <w:rFonts w:ascii="Times New Roman" w:hAnsi="Times New Roman" w:cs="Times New Roman"/>
            <w:b w:val="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5414"/>
    <w:multiLevelType w:val="hybridMultilevel"/>
    <w:tmpl w:val="80666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B2BE1"/>
    <w:multiLevelType w:val="hybridMultilevel"/>
    <w:tmpl w:val="55BC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2A4"/>
    <w:multiLevelType w:val="multilevel"/>
    <w:tmpl w:val="E84EB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AC3042D"/>
    <w:multiLevelType w:val="hybridMultilevel"/>
    <w:tmpl w:val="B4D6F864"/>
    <w:lvl w:ilvl="0" w:tplc="A6604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DEA6A63"/>
    <w:multiLevelType w:val="hybridMultilevel"/>
    <w:tmpl w:val="8066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379D9"/>
    <w:multiLevelType w:val="hybridMultilevel"/>
    <w:tmpl w:val="AADE74B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EA"/>
    <w:rsid w:val="000234AB"/>
    <w:rsid w:val="00031521"/>
    <w:rsid w:val="00084A8A"/>
    <w:rsid w:val="001068AB"/>
    <w:rsid w:val="001206ED"/>
    <w:rsid w:val="0013081C"/>
    <w:rsid w:val="00170223"/>
    <w:rsid w:val="001B65BA"/>
    <w:rsid w:val="001C298C"/>
    <w:rsid w:val="001E2F68"/>
    <w:rsid w:val="00202443"/>
    <w:rsid w:val="002102CA"/>
    <w:rsid w:val="002160A6"/>
    <w:rsid w:val="00237BE5"/>
    <w:rsid w:val="002B3FF2"/>
    <w:rsid w:val="002C6713"/>
    <w:rsid w:val="002F2094"/>
    <w:rsid w:val="0036754D"/>
    <w:rsid w:val="0039029B"/>
    <w:rsid w:val="003A536A"/>
    <w:rsid w:val="003C654B"/>
    <w:rsid w:val="003D15D4"/>
    <w:rsid w:val="003D52B1"/>
    <w:rsid w:val="003E4FBC"/>
    <w:rsid w:val="003F70A0"/>
    <w:rsid w:val="003F7BDF"/>
    <w:rsid w:val="00411BAB"/>
    <w:rsid w:val="00416E54"/>
    <w:rsid w:val="0047297C"/>
    <w:rsid w:val="004739A5"/>
    <w:rsid w:val="004930AA"/>
    <w:rsid w:val="004A6744"/>
    <w:rsid w:val="00533FEE"/>
    <w:rsid w:val="0056172B"/>
    <w:rsid w:val="005679FC"/>
    <w:rsid w:val="005A28B3"/>
    <w:rsid w:val="005E35FC"/>
    <w:rsid w:val="005E48CC"/>
    <w:rsid w:val="00631601"/>
    <w:rsid w:val="006443BC"/>
    <w:rsid w:val="00646450"/>
    <w:rsid w:val="006538D1"/>
    <w:rsid w:val="00674B38"/>
    <w:rsid w:val="0069679C"/>
    <w:rsid w:val="00762468"/>
    <w:rsid w:val="00763342"/>
    <w:rsid w:val="00767377"/>
    <w:rsid w:val="0077280E"/>
    <w:rsid w:val="007A46FA"/>
    <w:rsid w:val="007E35D4"/>
    <w:rsid w:val="007F0AEB"/>
    <w:rsid w:val="0082427E"/>
    <w:rsid w:val="00882B3E"/>
    <w:rsid w:val="00896C4F"/>
    <w:rsid w:val="008C056D"/>
    <w:rsid w:val="008D3D90"/>
    <w:rsid w:val="008E3342"/>
    <w:rsid w:val="008E3B03"/>
    <w:rsid w:val="009015E2"/>
    <w:rsid w:val="00924DFE"/>
    <w:rsid w:val="00952CC2"/>
    <w:rsid w:val="009613A1"/>
    <w:rsid w:val="009D0AC3"/>
    <w:rsid w:val="00A01C60"/>
    <w:rsid w:val="00A52BEA"/>
    <w:rsid w:val="00A75A93"/>
    <w:rsid w:val="00A824A0"/>
    <w:rsid w:val="00A918D7"/>
    <w:rsid w:val="00AA7843"/>
    <w:rsid w:val="00AF6682"/>
    <w:rsid w:val="00B15F14"/>
    <w:rsid w:val="00B17E7E"/>
    <w:rsid w:val="00B30CAA"/>
    <w:rsid w:val="00B43F81"/>
    <w:rsid w:val="00B463A9"/>
    <w:rsid w:val="00B550EF"/>
    <w:rsid w:val="00B60A40"/>
    <w:rsid w:val="00B81702"/>
    <w:rsid w:val="00C21BF7"/>
    <w:rsid w:val="00C26969"/>
    <w:rsid w:val="00C2729E"/>
    <w:rsid w:val="00C461CB"/>
    <w:rsid w:val="00C56457"/>
    <w:rsid w:val="00C77C2A"/>
    <w:rsid w:val="00CA46F4"/>
    <w:rsid w:val="00D101CE"/>
    <w:rsid w:val="00D40ABC"/>
    <w:rsid w:val="00D6343D"/>
    <w:rsid w:val="00D8721D"/>
    <w:rsid w:val="00DA1A5D"/>
    <w:rsid w:val="00DB7CA6"/>
    <w:rsid w:val="00DD64D9"/>
    <w:rsid w:val="00DF0086"/>
    <w:rsid w:val="00DF2268"/>
    <w:rsid w:val="00E25729"/>
    <w:rsid w:val="00E64939"/>
    <w:rsid w:val="00EA2BF5"/>
    <w:rsid w:val="00ED4E69"/>
    <w:rsid w:val="00F504AF"/>
    <w:rsid w:val="00F72D03"/>
    <w:rsid w:val="00FA3A63"/>
    <w:rsid w:val="00FA742D"/>
    <w:rsid w:val="00FB6FFC"/>
    <w:rsid w:val="00FC52AD"/>
    <w:rsid w:val="00FD4B56"/>
    <w:rsid w:val="00FE3B26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70BB1"/>
  <w14:defaultImageDpi w14:val="300"/>
  <w15:docId w15:val="{4C0A66F8-C2D5-4524-B378-75405BB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old" w:eastAsiaTheme="minorEastAsia" w:hAnsi="Arial Bold" w:cs="Arial"/>
        <w:b/>
        <w:bCs/>
        <w:color w:val="365F91" w:themeColor="accent1" w:themeShade="BF"/>
        <w:sz w:val="10"/>
        <w:szCs w:val="1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EA"/>
    <w:pPr>
      <w:ind w:left="720"/>
      <w:contextualSpacing/>
    </w:pPr>
  </w:style>
  <w:style w:type="character" w:customStyle="1" w:styleId="pt-a0-000008">
    <w:name w:val="pt-a0-000008"/>
    <w:basedOn w:val="a0"/>
    <w:rsid w:val="00DF2268"/>
  </w:style>
  <w:style w:type="character" w:customStyle="1" w:styleId="pt-a0-000007">
    <w:name w:val="pt-a0-000007"/>
    <w:basedOn w:val="a0"/>
    <w:rsid w:val="00DF2268"/>
  </w:style>
  <w:style w:type="character" w:customStyle="1" w:styleId="pt-a0-000010">
    <w:name w:val="pt-a0-000010"/>
    <w:basedOn w:val="a0"/>
    <w:rsid w:val="00DF2268"/>
  </w:style>
  <w:style w:type="paragraph" w:customStyle="1" w:styleId="Default">
    <w:name w:val="Default"/>
    <w:rsid w:val="004A6744"/>
    <w:pPr>
      <w:autoSpaceDE w:val="0"/>
      <w:autoSpaceDN w:val="0"/>
      <w:adjustRightInd w:val="0"/>
    </w:pPr>
    <w:rPr>
      <w:rFonts w:ascii="Times New Roman" w:hAnsi="Times New Roman" w:cs="Times New Roman"/>
      <w:b w:val="0"/>
      <w:bCs w:val="0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FB6FFC"/>
    <w:pPr>
      <w:widowControl w:val="0"/>
      <w:autoSpaceDE w:val="0"/>
      <w:autoSpaceDN w:val="0"/>
    </w:pPr>
    <w:rPr>
      <w:rFonts w:ascii="Calibri" w:eastAsia="Times New Roman" w:hAnsi="Calibri" w:cs="Calibri"/>
      <w:b w:val="0"/>
      <w:bCs w:val="0"/>
      <w:color w:val="auto"/>
      <w:sz w:val="22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4930AA"/>
  </w:style>
  <w:style w:type="character" w:styleId="a4">
    <w:name w:val="Hyperlink"/>
    <w:basedOn w:val="a0"/>
    <w:uiPriority w:val="99"/>
    <w:unhideWhenUsed/>
    <w:rsid w:val="001C29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2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98C"/>
    <w:rPr>
      <w:rFonts w:eastAsiaTheme="minorHAnsi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1C2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98C"/>
    <w:rPr>
      <w:rFonts w:eastAsiaTheme="minorHAnsi"/>
      <w:sz w:val="22"/>
      <w:szCs w:val="22"/>
      <w:lang w:val="ru-RU"/>
    </w:rPr>
  </w:style>
  <w:style w:type="table" w:styleId="a9">
    <w:name w:val="Table Grid"/>
    <w:basedOn w:val="a1"/>
    <w:uiPriority w:val="59"/>
    <w:rsid w:val="005A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952CC2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952CC2"/>
    <w:rPr>
      <w:rFonts w:eastAsiaTheme="minorHAnsi"/>
      <w:sz w:val="24"/>
      <w:szCs w:val="24"/>
      <w:lang w:val="ru-RU"/>
    </w:rPr>
  </w:style>
  <w:style w:type="character" w:styleId="ac">
    <w:name w:val="footnote reference"/>
    <w:basedOn w:val="a0"/>
    <w:uiPriority w:val="99"/>
    <w:unhideWhenUsed/>
    <w:rsid w:val="00952CC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D15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15D4"/>
    <w:rPr>
      <w:rFonts w:ascii="Tahoma" w:eastAsiaTheme="minorHAns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st-o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812010-6EFA-4CE4-9153-4672189A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Sobol</dc:creator>
  <cp:lastModifiedBy>Александр Варварин</cp:lastModifiedBy>
  <cp:revision>6</cp:revision>
  <dcterms:created xsi:type="dcterms:W3CDTF">2022-12-27T18:52:00Z</dcterms:created>
  <dcterms:modified xsi:type="dcterms:W3CDTF">2022-12-27T19:21:00Z</dcterms:modified>
</cp:coreProperties>
</file>